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a0395160fe8432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75E99" w14:textId="46179301" w:rsidR="00A75A10" w:rsidRPr="000D1385" w:rsidRDefault="00B77D60" w:rsidP="00FF15CA">
      <w:pPr>
        <w:spacing w:before="60" w:after="60" w:line="264" w:lineRule="auto"/>
        <w:rPr>
          <w:rFonts w:asciiTheme="minorHAnsi" w:hAnsiTheme="minorHAnsi" w:cs="Calibri"/>
          <w:b/>
          <w:sz w:val="32"/>
          <w:szCs w:val="32"/>
          <w:lang w:val="en-NZ"/>
        </w:rPr>
      </w:pPr>
      <w:bookmarkStart w:id="0" w:name="_GoBack"/>
      <w:bookmarkEnd w:id="0"/>
      <w:r w:rsidRPr="00B635CF">
        <w:rPr>
          <w:rFonts w:asciiTheme="minorHAnsi" w:hAnsiTheme="minorHAnsi" w:cs="Calibri"/>
          <w:b/>
          <w:noProof/>
          <w:sz w:val="32"/>
          <w:szCs w:val="32"/>
          <w:highlight w:val="yellow"/>
        </w:rPr>
        <w:drawing>
          <wp:anchor distT="0" distB="0" distL="114300" distR="114300" simplePos="0" relativeHeight="251657728" behindDoc="1" locked="0" layoutInCell="1" allowOverlap="1" wp14:anchorId="11554EBC" wp14:editId="6721ECEE">
            <wp:simplePos x="0" y="0"/>
            <wp:positionH relativeFrom="column">
              <wp:posOffset>4194810</wp:posOffset>
            </wp:positionH>
            <wp:positionV relativeFrom="paragraph">
              <wp:posOffset>0</wp:posOffset>
            </wp:positionV>
            <wp:extent cx="2085975" cy="419100"/>
            <wp:effectExtent l="0" t="0" r="9525" b="0"/>
            <wp:wrapTight wrapText="bothSides">
              <wp:wrapPolygon edited="0">
                <wp:start x="0" y="0"/>
                <wp:lineTo x="0" y="20618"/>
                <wp:lineTo x="21501" y="20618"/>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 connect_RG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419100"/>
                    </a:xfrm>
                    <a:prstGeom prst="rect">
                      <a:avLst/>
                    </a:prstGeom>
                  </pic:spPr>
                </pic:pic>
              </a:graphicData>
            </a:graphic>
          </wp:anchor>
        </w:drawing>
      </w:r>
      <w:r w:rsidR="007C7E90">
        <w:rPr>
          <w:rFonts w:asciiTheme="minorHAnsi" w:hAnsiTheme="minorHAnsi"/>
          <w:b/>
          <w:sz w:val="32"/>
          <w:szCs w:val="32"/>
          <w:lang w:val="en-NZ"/>
        </w:rPr>
        <w:t>Review of i</w:t>
      </w:r>
      <w:r w:rsidR="005F2990" w:rsidRPr="000D1385">
        <w:rPr>
          <w:rFonts w:asciiTheme="minorHAnsi" w:hAnsiTheme="minorHAnsi"/>
          <w:b/>
          <w:sz w:val="32"/>
          <w:szCs w:val="32"/>
          <w:lang w:val="en-NZ"/>
        </w:rPr>
        <w:t>nformation on Lake Rotorua catchment p</w:t>
      </w:r>
      <w:r w:rsidR="004554E6" w:rsidRPr="000D1385">
        <w:rPr>
          <w:rFonts w:asciiTheme="minorHAnsi" w:hAnsiTheme="minorHAnsi"/>
          <w:b/>
          <w:sz w:val="32"/>
          <w:szCs w:val="32"/>
          <w:lang w:val="en-NZ"/>
        </w:rPr>
        <w:t xml:space="preserve">hosphorus </w:t>
      </w:r>
      <w:r w:rsidR="00C52F38" w:rsidRPr="000D1385">
        <w:rPr>
          <w:rFonts w:asciiTheme="minorHAnsi" w:hAnsiTheme="minorHAnsi"/>
          <w:b/>
          <w:sz w:val="32"/>
          <w:szCs w:val="32"/>
          <w:lang w:val="en-NZ"/>
        </w:rPr>
        <w:t>loss</w:t>
      </w:r>
      <w:r w:rsidR="005F2990" w:rsidRPr="000D1385">
        <w:rPr>
          <w:rFonts w:asciiTheme="minorHAnsi" w:hAnsiTheme="minorHAnsi"/>
          <w:b/>
          <w:sz w:val="32"/>
          <w:szCs w:val="32"/>
          <w:lang w:val="en-NZ"/>
        </w:rPr>
        <w:t>es and reductions</w:t>
      </w:r>
      <w:r w:rsidR="00FF21FC" w:rsidRPr="000D1385">
        <w:rPr>
          <w:rFonts w:asciiTheme="minorHAnsi" w:hAnsiTheme="minorHAnsi" w:cs="Calibri"/>
          <w:b/>
          <w:noProof/>
          <w:sz w:val="32"/>
          <w:szCs w:val="32"/>
          <w:lang w:val="en-NZ" w:eastAsia="en-N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822"/>
      </w:tblGrid>
      <w:tr w:rsidR="00C52F38" w:rsidRPr="000D1385" w14:paraId="38BD09FE" w14:textId="77777777" w:rsidTr="00BF6A0E">
        <w:tc>
          <w:tcPr>
            <w:tcW w:w="817" w:type="dxa"/>
          </w:tcPr>
          <w:p w14:paraId="4554DECF" w14:textId="77777777" w:rsidR="000D3B80" w:rsidRPr="000D1385" w:rsidRDefault="000D3B80" w:rsidP="00FF15CA">
            <w:pPr>
              <w:spacing w:before="60" w:after="60" w:line="264" w:lineRule="auto"/>
              <w:rPr>
                <w:rFonts w:asciiTheme="minorHAnsi" w:hAnsiTheme="minorHAnsi" w:cs="Calibri"/>
                <w:b/>
                <w:sz w:val="24"/>
                <w:szCs w:val="24"/>
                <w:lang w:val="en-NZ"/>
              </w:rPr>
            </w:pPr>
            <w:r w:rsidRPr="000D1385">
              <w:rPr>
                <w:rFonts w:asciiTheme="minorHAnsi" w:hAnsiTheme="minorHAnsi" w:cs="Calibri"/>
                <w:b/>
                <w:sz w:val="24"/>
                <w:szCs w:val="24"/>
                <w:lang w:val="en-NZ"/>
              </w:rPr>
              <w:t>From</w:t>
            </w:r>
            <w:r w:rsidR="00971A48" w:rsidRPr="000D1385">
              <w:rPr>
                <w:rFonts w:asciiTheme="minorHAnsi" w:hAnsiTheme="minorHAnsi" w:cs="Calibri"/>
                <w:b/>
                <w:sz w:val="24"/>
                <w:szCs w:val="24"/>
                <w:lang w:val="en-NZ"/>
              </w:rPr>
              <w:t>:</w:t>
            </w:r>
          </w:p>
        </w:tc>
        <w:tc>
          <w:tcPr>
            <w:tcW w:w="8930" w:type="dxa"/>
          </w:tcPr>
          <w:p w14:paraId="63F4931F" w14:textId="77777777" w:rsidR="000D3B80" w:rsidRPr="000D1385" w:rsidRDefault="000D3B80" w:rsidP="00FF15CA">
            <w:pPr>
              <w:spacing w:before="60" w:after="60" w:line="264" w:lineRule="auto"/>
              <w:rPr>
                <w:rFonts w:asciiTheme="minorHAnsi" w:hAnsiTheme="minorHAnsi" w:cs="Calibri"/>
                <w:b/>
                <w:sz w:val="24"/>
                <w:szCs w:val="24"/>
                <w:lang w:val="en-NZ"/>
              </w:rPr>
            </w:pPr>
            <w:r w:rsidRPr="000D1385">
              <w:rPr>
                <w:rFonts w:asciiTheme="minorHAnsi" w:hAnsiTheme="minorHAnsi" w:cs="Calibri"/>
                <w:b/>
                <w:sz w:val="24"/>
                <w:szCs w:val="24"/>
                <w:lang w:val="en-NZ"/>
              </w:rPr>
              <w:t>Simon Park</w:t>
            </w:r>
            <w:r w:rsidR="009A3A00" w:rsidRPr="000D1385">
              <w:rPr>
                <w:rFonts w:asciiTheme="minorHAnsi" w:hAnsiTheme="minorHAnsi" w:cs="Calibri"/>
                <w:b/>
                <w:sz w:val="24"/>
                <w:szCs w:val="24"/>
                <w:lang w:val="en-NZ"/>
              </w:rPr>
              <w:t>, Landconnect Ltd</w:t>
            </w:r>
            <w:r w:rsidR="00B76373" w:rsidRPr="000D1385">
              <w:rPr>
                <w:rFonts w:asciiTheme="minorHAnsi" w:hAnsiTheme="minorHAnsi" w:cs="Calibri"/>
                <w:b/>
                <w:sz w:val="24"/>
                <w:szCs w:val="24"/>
                <w:lang w:val="en-NZ"/>
              </w:rPr>
              <w:t>, BOPRC contractor</w:t>
            </w:r>
          </w:p>
        </w:tc>
      </w:tr>
      <w:tr w:rsidR="00C52F38" w:rsidRPr="000D1385" w14:paraId="10DA1B3C" w14:textId="77777777" w:rsidTr="00BF6A0E">
        <w:tc>
          <w:tcPr>
            <w:tcW w:w="817" w:type="dxa"/>
          </w:tcPr>
          <w:p w14:paraId="4735272C" w14:textId="77777777" w:rsidR="000D3B80" w:rsidRPr="000D1385" w:rsidRDefault="000D3B80" w:rsidP="00FF15CA">
            <w:pPr>
              <w:spacing w:before="60" w:after="60" w:line="264" w:lineRule="auto"/>
              <w:rPr>
                <w:rFonts w:asciiTheme="minorHAnsi" w:hAnsiTheme="minorHAnsi" w:cs="Calibri"/>
                <w:b/>
                <w:sz w:val="24"/>
                <w:szCs w:val="24"/>
                <w:lang w:val="en-NZ"/>
              </w:rPr>
            </w:pPr>
            <w:r w:rsidRPr="000D1385">
              <w:rPr>
                <w:rFonts w:asciiTheme="minorHAnsi" w:hAnsiTheme="minorHAnsi" w:cs="Calibri"/>
                <w:b/>
                <w:sz w:val="24"/>
                <w:szCs w:val="24"/>
                <w:lang w:val="en-NZ"/>
              </w:rPr>
              <w:t>To</w:t>
            </w:r>
            <w:r w:rsidR="00971A48" w:rsidRPr="000D1385">
              <w:rPr>
                <w:rFonts w:asciiTheme="minorHAnsi" w:hAnsiTheme="minorHAnsi" w:cs="Calibri"/>
                <w:b/>
                <w:sz w:val="24"/>
                <w:szCs w:val="24"/>
                <w:lang w:val="en-NZ"/>
              </w:rPr>
              <w:t>:</w:t>
            </w:r>
          </w:p>
        </w:tc>
        <w:tc>
          <w:tcPr>
            <w:tcW w:w="8930" w:type="dxa"/>
          </w:tcPr>
          <w:p w14:paraId="5D2C8AEA" w14:textId="77777777" w:rsidR="00BF6A0E" w:rsidRPr="000D1385" w:rsidRDefault="004554E6" w:rsidP="004554E6">
            <w:pPr>
              <w:spacing w:before="60" w:after="60" w:line="264" w:lineRule="auto"/>
              <w:rPr>
                <w:rFonts w:asciiTheme="minorHAnsi" w:hAnsiTheme="minorHAnsi" w:cs="Calibri"/>
                <w:b/>
                <w:sz w:val="24"/>
                <w:szCs w:val="24"/>
                <w:lang w:val="en-NZ"/>
              </w:rPr>
            </w:pPr>
            <w:r w:rsidRPr="000D1385">
              <w:rPr>
                <w:rFonts w:asciiTheme="minorHAnsi" w:hAnsiTheme="minorHAnsi" w:cs="Calibri"/>
                <w:b/>
                <w:sz w:val="24"/>
                <w:szCs w:val="24"/>
                <w:lang w:val="en-NZ"/>
              </w:rPr>
              <w:t>Rebecca Burton</w:t>
            </w:r>
            <w:r w:rsidR="00BF6A0E" w:rsidRPr="000D1385">
              <w:rPr>
                <w:rFonts w:asciiTheme="minorHAnsi" w:hAnsiTheme="minorHAnsi" w:cs="Calibri"/>
                <w:b/>
                <w:sz w:val="24"/>
                <w:szCs w:val="24"/>
                <w:lang w:val="en-NZ"/>
              </w:rPr>
              <w:t xml:space="preserve">, </w:t>
            </w:r>
            <w:r w:rsidRPr="000D1385">
              <w:rPr>
                <w:rFonts w:asciiTheme="minorHAnsi" w:hAnsiTheme="minorHAnsi" w:cs="Calibri"/>
                <w:b/>
                <w:sz w:val="24"/>
                <w:szCs w:val="24"/>
                <w:lang w:val="en-NZ"/>
              </w:rPr>
              <w:t xml:space="preserve">BOPRC </w:t>
            </w:r>
            <w:r w:rsidR="00C52F38" w:rsidRPr="000D1385">
              <w:rPr>
                <w:rFonts w:asciiTheme="minorHAnsi" w:hAnsiTheme="minorHAnsi" w:cs="Calibri"/>
                <w:b/>
                <w:sz w:val="24"/>
                <w:szCs w:val="24"/>
                <w:lang w:val="en-NZ"/>
              </w:rPr>
              <w:t xml:space="preserve">senior </w:t>
            </w:r>
            <w:r w:rsidRPr="000D1385">
              <w:rPr>
                <w:rFonts w:asciiTheme="minorHAnsi" w:hAnsiTheme="minorHAnsi" w:cs="Calibri"/>
                <w:b/>
                <w:sz w:val="24"/>
                <w:szCs w:val="24"/>
                <w:lang w:val="en-NZ"/>
              </w:rPr>
              <w:t xml:space="preserve">planner </w:t>
            </w:r>
          </w:p>
        </w:tc>
      </w:tr>
      <w:tr w:rsidR="00C52F38" w:rsidRPr="000D1385" w14:paraId="40902AC5" w14:textId="77777777" w:rsidTr="00BF6A0E">
        <w:tc>
          <w:tcPr>
            <w:tcW w:w="817" w:type="dxa"/>
          </w:tcPr>
          <w:p w14:paraId="1A5399AD" w14:textId="77777777" w:rsidR="000D3B80" w:rsidRPr="000D1385" w:rsidRDefault="000D3B80" w:rsidP="00FF15CA">
            <w:pPr>
              <w:spacing w:before="60" w:after="60" w:line="264" w:lineRule="auto"/>
              <w:rPr>
                <w:rFonts w:asciiTheme="minorHAnsi" w:hAnsiTheme="minorHAnsi" w:cs="Calibri"/>
                <w:b/>
                <w:sz w:val="24"/>
                <w:szCs w:val="24"/>
                <w:lang w:val="en-NZ"/>
              </w:rPr>
            </w:pPr>
            <w:r w:rsidRPr="000D1385">
              <w:rPr>
                <w:rFonts w:asciiTheme="minorHAnsi" w:hAnsiTheme="minorHAnsi" w:cs="Calibri"/>
                <w:b/>
                <w:sz w:val="24"/>
                <w:szCs w:val="24"/>
                <w:lang w:val="en-NZ"/>
              </w:rPr>
              <w:t>Date</w:t>
            </w:r>
            <w:r w:rsidR="00971A48" w:rsidRPr="000D1385">
              <w:rPr>
                <w:rFonts w:asciiTheme="minorHAnsi" w:hAnsiTheme="minorHAnsi" w:cs="Calibri"/>
                <w:b/>
                <w:sz w:val="24"/>
                <w:szCs w:val="24"/>
                <w:lang w:val="en-NZ"/>
              </w:rPr>
              <w:t>:</w:t>
            </w:r>
          </w:p>
        </w:tc>
        <w:tc>
          <w:tcPr>
            <w:tcW w:w="8930" w:type="dxa"/>
          </w:tcPr>
          <w:p w14:paraId="143B4343" w14:textId="44F78C13" w:rsidR="000D3B80" w:rsidRPr="000D1385" w:rsidRDefault="007C7E90" w:rsidP="004554E6">
            <w:pPr>
              <w:spacing w:before="60" w:after="60" w:line="264" w:lineRule="auto"/>
              <w:rPr>
                <w:rFonts w:asciiTheme="minorHAnsi" w:hAnsiTheme="minorHAnsi" w:cs="Calibri"/>
                <w:b/>
                <w:sz w:val="24"/>
                <w:szCs w:val="24"/>
                <w:lang w:val="en-NZ"/>
              </w:rPr>
            </w:pPr>
            <w:r>
              <w:rPr>
                <w:rFonts w:asciiTheme="minorHAnsi" w:hAnsiTheme="minorHAnsi" w:cs="Calibri"/>
                <w:b/>
                <w:sz w:val="24"/>
                <w:szCs w:val="24"/>
                <w:lang w:val="en-NZ"/>
              </w:rPr>
              <w:t>24 February</w:t>
            </w:r>
            <w:r w:rsidR="000D3B80" w:rsidRPr="000D1385">
              <w:rPr>
                <w:rFonts w:asciiTheme="minorHAnsi" w:hAnsiTheme="minorHAnsi" w:cs="Calibri"/>
                <w:b/>
                <w:sz w:val="24"/>
                <w:szCs w:val="24"/>
                <w:lang w:val="en-NZ"/>
              </w:rPr>
              <w:t xml:space="preserve"> </w:t>
            </w:r>
            <w:r w:rsidRPr="000D1385">
              <w:rPr>
                <w:rFonts w:asciiTheme="minorHAnsi" w:hAnsiTheme="minorHAnsi" w:cs="Calibri"/>
                <w:b/>
                <w:sz w:val="24"/>
                <w:szCs w:val="24"/>
                <w:lang w:val="en-NZ"/>
              </w:rPr>
              <w:t>201</w:t>
            </w:r>
            <w:r>
              <w:rPr>
                <w:rFonts w:asciiTheme="minorHAnsi" w:hAnsiTheme="minorHAnsi" w:cs="Calibri"/>
                <w:b/>
                <w:sz w:val="24"/>
                <w:szCs w:val="24"/>
                <w:lang w:val="en-NZ"/>
              </w:rPr>
              <w:t>7</w:t>
            </w:r>
          </w:p>
        </w:tc>
      </w:tr>
    </w:tbl>
    <w:p w14:paraId="75C5A1B4" w14:textId="77777777" w:rsidR="000D3B80" w:rsidRPr="000D1385" w:rsidRDefault="004F48D0" w:rsidP="00B76373">
      <w:pPr>
        <w:spacing w:after="0" w:line="240" w:lineRule="auto"/>
        <w:rPr>
          <w:rFonts w:asciiTheme="minorHAnsi" w:hAnsiTheme="minorHAnsi" w:cs="Calibri"/>
          <w:b/>
          <w:sz w:val="28"/>
          <w:szCs w:val="28"/>
          <w:lang w:val="en-NZ"/>
        </w:rPr>
      </w:pPr>
      <w:r>
        <w:rPr>
          <w:rFonts w:asciiTheme="minorHAnsi" w:hAnsiTheme="minorHAnsi" w:cs="Calibri"/>
          <w:b/>
          <w:sz w:val="28"/>
          <w:szCs w:val="28"/>
          <w:lang w:val="en-NZ"/>
        </w:rPr>
        <w:pict w14:anchorId="51438EE5">
          <v:rect id="_x0000_i1025" style="width:0;height:1.5pt" o:hralign="center" o:hrstd="t" o:hr="t" fillcolor="#a0a0a0" stroked="f"/>
        </w:pict>
      </w:r>
    </w:p>
    <w:p w14:paraId="39D963F0" w14:textId="6C7E26D0" w:rsidR="00D300EA" w:rsidRPr="000D1385" w:rsidRDefault="00B77D60" w:rsidP="003E0DC3">
      <w:pPr>
        <w:spacing w:before="240" w:after="60" w:line="264" w:lineRule="auto"/>
        <w:rPr>
          <w:rFonts w:asciiTheme="minorHAnsi" w:hAnsiTheme="minorHAnsi" w:cs="Calibri"/>
          <w:b/>
          <w:sz w:val="28"/>
          <w:szCs w:val="28"/>
          <w:lang w:val="en-NZ"/>
        </w:rPr>
      </w:pPr>
      <w:r w:rsidRPr="000D1385">
        <w:rPr>
          <w:rFonts w:asciiTheme="minorHAnsi" w:hAnsiTheme="minorHAnsi" w:cs="Calibri"/>
          <w:b/>
          <w:sz w:val="28"/>
          <w:szCs w:val="28"/>
          <w:lang w:val="en-NZ"/>
        </w:rPr>
        <w:t>Re</w:t>
      </w:r>
      <w:r w:rsidR="00C36EB0">
        <w:rPr>
          <w:rFonts w:asciiTheme="minorHAnsi" w:hAnsiTheme="minorHAnsi" w:cs="Calibri"/>
          <w:b/>
          <w:sz w:val="28"/>
          <w:szCs w:val="28"/>
          <w:lang w:val="en-NZ"/>
        </w:rPr>
        <w:t>view</w:t>
      </w:r>
      <w:r w:rsidR="00ED7E91" w:rsidRPr="000D1385">
        <w:rPr>
          <w:rFonts w:asciiTheme="minorHAnsi" w:hAnsiTheme="minorHAnsi" w:cs="Calibri"/>
          <w:b/>
          <w:sz w:val="28"/>
          <w:szCs w:val="28"/>
          <w:lang w:val="en-NZ"/>
        </w:rPr>
        <w:t xml:space="preserve"> purpose </w:t>
      </w:r>
    </w:p>
    <w:p w14:paraId="63DBB73E" w14:textId="5A664616" w:rsidR="00FF15CA" w:rsidRPr="000D1385" w:rsidRDefault="00AB5114" w:rsidP="00FF15CA">
      <w:pPr>
        <w:spacing w:before="60" w:after="60"/>
        <w:rPr>
          <w:rFonts w:asciiTheme="minorHAnsi" w:hAnsiTheme="minorHAnsi"/>
          <w:lang w:val="en-NZ"/>
        </w:rPr>
      </w:pPr>
      <w:r w:rsidRPr="000D1385">
        <w:rPr>
          <w:rFonts w:asciiTheme="minorHAnsi" w:hAnsiTheme="minorHAnsi"/>
          <w:lang w:val="en-NZ"/>
        </w:rPr>
        <w:t>T</w:t>
      </w:r>
      <w:r w:rsidR="004554E6" w:rsidRPr="000D1385">
        <w:rPr>
          <w:rFonts w:asciiTheme="minorHAnsi" w:hAnsiTheme="minorHAnsi"/>
          <w:lang w:val="en-NZ"/>
        </w:rPr>
        <w:t xml:space="preserve">o summarise </w:t>
      </w:r>
      <w:r w:rsidR="005F2990" w:rsidRPr="000D1385">
        <w:rPr>
          <w:rFonts w:asciiTheme="minorHAnsi" w:hAnsiTheme="minorHAnsi"/>
          <w:lang w:val="en-NZ"/>
        </w:rPr>
        <w:t xml:space="preserve">available information on </w:t>
      </w:r>
      <w:r w:rsidR="004554E6" w:rsidRPr="000D1385">
        <w:rPr>
          <w:rFonts w:asciiTheme="minorHAnsi" w:hAnsiTheme="minorHAnsi"/>
          <w:lang w:val="en-NZ"/>
        </w:rPr>
        <w:t xml:space="preserve">P </w:t>
      </w:r>
      <w:r w:rsidR="005F2990" w:rsidRPr="000D1385">
        <w:rPr>
          <w:rFonts w:asciiTheme="minorHAnsi" w:hAnsiTheme="minorHAnsi"/>
          <w:lang w:val="en-NZ"/>
        </w:rPr>
        <w:t xml:space="preserve">losses and anticipated reductions in the Lake Rotorua catchment. </w:t>
      </w:r>
    </w:p>
    <w:p w14:paraId="7F11A32E" w14:textId="77777777" w:rsidR="004D505B" w:rsidRPr="000D1385" w:rsidRDefault="004D505B" w:rsidP="003E0DC3">
      <w:pPr>
        <w:spacing w:before="240" w:after="60" w:line="264" w:lineRule="auto"/>
        <w:rPr>
          <w:rFonts w:asciiTheme="minorHAnsi" w:hAnsiTheme="minorHAnsi" w:cs="Calibri"/>
          <w:b/>
          <w:sz w:val="28"/>
          <w:szCs w:val="28"/>
          <w:lang w:val="en-NZ"/>
        </w:rPr>
      </w:pPr>
      <w:r w:rsidRPr="000D1385">
        <w:rPr>
          <w:rFonts w:asciiTheme="minorHAnsi" w:hAnsiTheme="minorHAnsi" w:cs="Calibri"/>
          <w:b/>
          <w:sz w:val="28"/>
          <w:szCs w:val="28"/>
          <w:lang w:val="en-NZ"/>
        </w:rPr>
        <w:t>Summary</w:t>
      </w:r>
    </w:p>
    <w:p w14:paraId="62AE1DDC" w14:textId="6173BEB3" w:rsidR="00567EC2" w:rsidRDefault="005E1C15" w:rsidP="005E1C15">
      <w:pPr>
        <w:spacing w:before="60" w:after="60"/>
        <w:rPr>
          <w:rFonts w:asciiTheme="minorHAnsi" w:hAnsiTheme="minorHAnsi"/>
          <w:lang w:val="en-NZ"/>
        </w:rPr>
      </w:pPr>
      <w:r>
        <w:rPr>
          <w:rFonts w:asciiTheme="minorHAnsi" w:hAnsiTheme="minorHAnsi"/>
          <w:lang w:val="en-NZ"/>
        </w:rPr>
        <w:t>The report ‘</w:t>
      </w:r>
      <w:r w:rsidRPr="005E1C15">
        <w:rPr>
          <w:rFonts w:asciiTheme="minorHAnsi" w:hAnsiTheme="minorHAnsi"/>
          <w:lang w:val="en-NZ"/>
        </w:rPr>
        <w:t>Anthropogenic Phosphorus Loads to</w:t>
      </w:r>
      <w:r>
        <w:rPr>
          <w:rFonts w:asciiTheme="minorHAnsi" w:hAnsiTheme="minorHAnsi"/>
          <w:lang w:val="en-NZ"/>
        </w:rPr>
        <w:t xml:space="preserve"> </w:t>
      </w:r>
      <w:r w:rsidRPr="005E1C15">
        <w:rPr>
          <w:rFonts w:asciiTheme="minorHAnsi" w:hAnsiTheme="minorHAnsi"/>
          <w:lang w:val="en-NZ"/>
        </w:rPr>
        <w:t>Lake Rotorua</w:t>
      </w:r>
      <w:r>
        <w:rPr>
          <w:rFonts w:asciiTheme="minorHAnsi" w:hAnsiTheme="minorHAnsi"/>
          <w:lang w:val="en-NZ"/>
        </w:rPr>
        <w:t>’ (</w:t>
      </w:r>
      <w:hyperlink r:id="rId9" w:history="1">
        <w:r w:rsidRPr="003321A2">
          <w:rPr>
            <w:rStyle w:val="Hyperlink"/>
            <w:rFonts w:asciiTheme="minorHAnsi" w:hAnsiTheme="minorHAnsi"/>
            <w:lang w:val="en-NZ"/>
          </w:rPr>
          <w:t>Tempe</w:t>
        </w:r>
        <w:r w:rsidRPr="003321A2">
          <w:rPr>
            <w:rStyle w:val="Hyperlink"/>
            <w:rFonts w:asciiTheme="minorHAnsi" w:hAnsiTheme="minorHAnsi"/>
            <w:lang w:val="en-NZ"/>
          </w:rPr>
          <w:t>r</w:t>
        </w:r>
        <w:r w:rsidRPr="003321A2">
          <w:rPr>
            <w:rStyle w:val="Hyperlink"/>
            <w:rFonts w:asciiTheme="minorHAnsi" w:hAnsiTheme="minorHAnsi"/>
            <w:lang w:val="en-NZ"/>
          </w:rPr>
          <w:t>o et al, 2015</w:t>
        </w:r>
      </w:hyperlink>
      <w:r>
        <w:rPr>
          <w:rFonts w:asciiTheme="minorHAnsi" w:hAnsiTheme="minorHAnsi"/>
          <w:lang w:val="en-NZ"/>
        </w:rPr>
        <w:t>) identified a total annual P load of ~49 tP/yr</w:t>
      </w:r>
      <w:r w:rsidR="00567EC2">
        <w:rPr>
          <w:rFonts w:asciiTheme="minorHAnsi" w:hAnsiTheme="minorHAnsi"/>
          <w:lang w:val="en-NZ"/>
        </w:rPr>
        <w:t>. This is split into</w:t>
      </w:r>
      <w:r>
        <w:rPr>
          <w:rFonts w:asciiTheme="minorHAnsi" w:hAnsiTheme="minorHAnsi"/>
          <w:lang w:val="en-NZ"/>
        </w:rPr>
        <w:t xml:space="preserve"> an anthropogenic share of ~23 tP/yr and a baseline load</w:t>
      </w:r>
      <w:r w:rsidRPr="005E1C15">
        <w:rPr>
          <w:rFonts w:asciiTheme="minorHAnsi" w:hAnsiTheme="minorHAnsi"/>
          <w:lang w:val="en-NZ"/>
        </w:rPr>
        <w:t xml:space="preserve"> </w:t>
      </w:r>
      <w:r w:rsidR="00567EC2">
        <w:rPr>
          <w:rFonts w:asciiTheme="minorHAnsi" w:hAnsiTheme="minorHAnsi"/>
          <w:lang w:val="en-NZ"/>
        </w:rPr>
        <w:t xml:space="preserve">of ~25 tP/yr. The </w:t>
      </w:r>
      <w:r w:rsidR="00C36EB0">
        <w:rPr>
          <w:rFonts w:asciiTheme="minorHAnsi" w:hAnsiTheme="minorHAnsi"/>
          <w:lang w:val="en-NZ"/>
        </w:rPr>
        <w:t>high</w:t>
      </w:r>
      <w:r w:rsidR="00567EC2">
        <w:rPr>
          <w:rFonts w:asciiTheme="minorHAnsi" w:hAnsiTheme="minorHAnsi"/>
          <w:lang w:val="en-NZ"/>
        </w:rPr>
        <w:t xml:space="preserve"> ‘natural P’ (geological) </w:t>
      </w:r>
      <w:r w:rsidR="00C36EB0">
        <w:rPr>
          <w:rFonts w:asciiTheme="minorHAnsi" w:hAnsiTheme="minorHAnsi"/>
          <w:lang w:val="en-NZ"/>
        </w:rPr>
        <w:t xml:space="preserve">load </w:t>
      </w:r>
      <w:r w:rsidR="00567EC2">
        <w:rPr>
          <w:rFonts w:asciiTheme="minorHAnsi" w:hAnsiTheme="minorHAnsi"/>
          <w:lang w:val="en-NZ"/>
        </w:rPr>
        <w:t xml:space="preserve">highlights the </w:t>
      </w:r>
      <w:r w:rsidR="00C36EB0">
        <w:rPr>
          <w:rFonts w:asciiTheme="minorHAnsi" w:hAnsiTheme="minorHAnsi"/>
          <w:lang w:val="en-NZ"/>
        </w:rPr>
        <w:t>need to</w:t>
      </w:r>
      <w:r w:rsidR="00567EC2">
        <w:rPr>
          <w:rFonts w:asciiTheme="minorHAnsi" w:hAnsiTheme="minorHAnsi"/>
          <w:lang w:val="en-NZ"/>
        </w:rPr>
        <w:t xml:space="preserve"> reduc</w:t>
      </w:r>
      <w:r w:rsidR="00C36EB0">
        <w:rPr>
          <w:rFonts w:asciiTheme="minorHAnsi" w:hAnsiTheme="minorHAnsi"/>
          <w:lang w:val="en-NZ"/>
        </w:rPr>
        <w:t>e</w:t>
      </w:r>
      <w:r w:rsidR="00567EC2">
        <w:rPr>
          <w:rFonts w:asciiTheme="minorHAnsi" w:hAnsiTheme="minorHAnsi"/>
          <w:lang w:val="en-NZ"/>
        </w:rPr>
        <w:t xml:space="preserve"> anthropogenic </w:t>
      </w:r>
      <w:r w:rsidR="00C36EB0">
        <w:rPr>
          <w:rFonts w:asciiTheme="minorHAnsi" w:hAnsiTheme="minorHAnsi"/>
          <w:lang w:val="en-NZ"/>
        </w:rPr>
        <w:t>P</w:t>
      </w:r>
      <w:r w:rsidR="00567EC2">
        <w:rPr>
          <w:rFonts w:asciiTheme="minorHAnsi" w:hAnsiTheme="minorHAnsi"/>
          <w:lang w:val="en-NZ"/>
        </w:rPr>
        <w:t xml:space="preserve"> to substitute for alum dosing. </w:t>
      </w:r>
      <w:r w:rsidR="004F48D0">
        <w:rPr>
          <w:rFonts w:asciiTheme="minorHAnsi" w:hAnsiTheme="minorHAnsi"/>
          <w:lang w:val="en-NZ"/>
        </w:rPr>
        <w:t xml:space="preserve">The sustainable P load </w:t>
      </w:r>
      <w:r w:rsidR="00FD21FE">
        <w:rPr>
          <w:rFonts w:asciiTheme="minorHAnsi" w:hAnsiTheme="minorHAnsi"/>
          <w:lang w:val="en-NZ"/>
        </w:rPr>
        <w:t>requires that anthrop</w:t>
      </w:r>
      <w:r w:rsidR="00C36EB0">
        <w:rPr>
          <w:rFonts w:asciiTheme="minorHAnsi" w:hAnsiTheme="minorHAnsi"/>
          <w:lang w:val="en-NZ"/>
        </w:rPr>
        <w:t>og</w:t>
      </w:r>
      <w:r w:rsidR="00FD21FE">
        <w:rPr>
          <w:rFonts w:asciiTheme="minorHAnsi" w:hAnsiTheme="minorHAnsi"/>
          <w:lang w:val="en-NZ"/>
        </w:rPr>
        <w:t>enic load decreases by 8-13 t</w:t>
      </w:r>
      <w:r w:rsidR="00C36EB0">
        <w:rPr>
          <w:rFonts w:asciiTheme="minorHAnsi" w:hAnsiTheme="minorHAnsi"/>
          <w:lang w:val="en-NZ"/>
        </w:rPr>
        <w:t>P/yr.</w:t>
      </w:r>
      <w:r w:rsidR="004F48D0">
        <w:rPr>
          <w:rFonts w:asciiTheme="minorHAnsi" w:hAnsiTheme="minorHAnsi"/>
          <w:lang w:val="en-NZ"/>
        </w:rPr>
        <w:t xml:space="preserve"> </w:t>
      </w:r>
    </w:p>
    <w:p w14:paraId="4CBC6E64" w14:textId="30DC0A22" w:rsidR="00567EC2" w:rsidRDefault="00567EC2" w:rsidP="005E1C15">
      <w:pPr>
        <w:spacing w:before="60" w:after="60"/>
        <w:rPr>
          <w:rFonts w:asciiTheme="minorHAnsi" w:hAnsiTheme="minorHAnsi"/>
          <w:lang w:val="en-NZ"/>
        </w:rPr>
      </w:pPr>
      <w:r>
        <w:rPr>
          <w:rFonts w:asciiTheme="minorHAnsi" w:hAnsiTheme="minorHAnsi"/>
          <w:lang w:val="en-NZ"/>
        </w:rPr>
        <w:t xml:space="preserve">This </w:t>
      </w:r>
      <w:r w:rsidR="005E1C15">
        <w:rPr>
          <w:rFonts w:asciiTheme="minorHAnsi" w:hAnsiTheme="minorHAnsi"/>
          <w:lang w:val="en-NZ"/>
        </w:rPr>
        <w:t>re</w:t>
      </w:r>
      <w:r>
        <w:rPr>
          <w:rFonts w:asciiTheme="minorHAnsi" w:hAnsiTheme="minorHAnsi"/>
          <w:lang w:val="en-NZ"/>
        </w:rPr>
        <w:t>port reviews information on catchment P loads and potential reductions. Key observations include:</w:t>
      </w:r>
    </w:p>
    <w:p w14:paraId="73E3DAA0" w14:textId="7D3884EB" w:rsidR="00567EC2" w:rsidRPr="00C36EB0" w:rsidRDefault="00567EC2" w:rsidP="00567EC2">
      <w:pPr>
        <w:numPr>
          <w:ilvl w:val="0"/>
          <w:numId w:val="21"/>
        </w:numPr>
        <w:spacing w:before="60" w:after="60"/>
        <w:rPr>
          <w:rFonts w:asciiTheme="minorHAnsi" w:hAnsiTheme="minorHAnsi"/>
          <w:lang w:val="en-NZ"/>
        </w:rPr>
      </w:pPr>
      <w:r w:rsidRPr="00C36EB0">
        <w:rPr>
          <w:rFonts w:asciiTheme="minorHAnsi" w:hAnsiTheme="minorHAnsi"/>
          <w:lang w:val="en-NZ"/>
        </w:rPr>
        <w:t xml:space="preserve">There </w:t>
      </w:r>
      <w:r w:rsidR="005E1C15" w:rsidRPr="00C36EB0">
        <w:rPr>
          <w:rFonts w:asciiTheme="minorHAnsi" w:hAnsiTheme="minorHAnsi"/>
          <w:lang w:val="en-NZ"/>
        </w:rPr>
        <w:t xml:space="preserve">is considerable uncertainty about the level of </w:t>
      </w:r>
      <w:r w:rsidRPr="00C36EB0">
        <w:rPr>
          <w:rFonts w:asciiTheme="minorHAnsi" w:hAnsiTheme="minorHAnsi"/>
          <w:lang w:val="en-NZ"/>
        </w:rPr>
        <w:t xml:space="preserve">P loss from different activities and the </w:t>
      </w:r>
      <w:r w:rsidR="00D66467" w:rsidRPr="00C36EB0">
        <w:rPr>
          <w:rFonts w:asciiTheme="minorHAnsi" w:hAnsiTheme="minorHAnsi"/>
          <w:lang w:val="en-NZ"/>
        </w:rPr>
        <w:t>options available for</w:t>
      </w:r>
      <w:r w:rsidRPr="00C36EB0">
        <w:rPr>
          <w:rFonts w:asciiTheme="minorHAnsi" w:hAnsiTheme="minorHAnsi"/>
          <w:lang w:val="en-NZ"/>
        </w:rPr>
        <w:t xml:space="preserve"> reducing these P losses</w:t>
      </w:r>
      <w:r w:rsidR="003321A2" w:rsidRPr="00C36EB0">
        <w:rPr>
          <w:rFonts w:asciiTheme="minorHAnsi" w:hAnsiTheme="minorHAnsi"/>
          <w:lang w:val="en-NZ"/>
        </w:rPr>
        <w:t>.</w:t>
      </w:r>
    </w:p>
    <w:p w14:paraId="07472656" w14:textId="67A1ABAE" w:rsidR="00567EC2" w:rsidRPr="00C36EB0" w:rsidRDefault="00567EC2" w:rsidP="00567EC2">
      <w:pPr>
        <w:numPr>
          <w:ilvl w:val="0"/>
          <w:numId w:val="21"/>
        </w:numPr>
        <w:spacing w:before="60" w:after="60"/>
        <w:rPr>
          <w:rFonts w:asciiTheme="minorHAnsi" w:hAnsiTheme="minorHAnsi"/>
          <w:lang w:val="en-NZ"/>
        </w:rPr>
      </w:pPr>
      <w:r w:rsidRPr="00C36EB0">
        <w:rPr>
          <w:rFonts w:asciiTheme="minorHAnsi" w:hAnsiTheme="minorHAnsi"/>
          <w:lang w:val="en-NZ"/>
        </w:rPr>
        <w:t xml:space="preserve">Industry promoted good management practices (GMPs) offer major scope to reduce </w:t>
      </w:r>
      <w:r w:rsidR="00D66467" w:rsidRPr="00C36EB0">
        <w:rPr>
          <w:rFonts w:asciiTheme="minorHAnsi" w:hAnsiTheme="minorHAnsi"/>
          <w:lang w:val="en-NZ"/>
        </w:rPr>
        <w:t>P</w:t>
      </w:r>
      <w:r w:rsidRPr="00C36EB0">
        <w:rPr>
          <w:rFonts w:asciiTheme="minorHAnsi" w:hAnsiTheme="minorHAnsi"/>
          <w:lang w:val="en-NZ"/>
        </w:rPr>
        <w:t xml:space="preserve"> losses. An extrapolation</w:t>
      </w:r>
      <w:r w:rsidR="009E5072" w:rsidRPr="00C36EB0">
        <w:rPr>
          <w:rFonts w:asciiTheme="minorHAnsi" w:hAnsiTheme="minorHAnsi"/>
          <w:lang w:val="en-NZ"/>
        </w:rPr>
        <w:t xml:space="preserve"> (by Simon Park)</w:t>
      </w:r>
      <w:r w:rsidRPr="00C36EB0">
        <w:rPr>
          <w:rFonts w:asciiTheme="minorHAnsi" w:hAnsiTheme="minorHAnsi"/>
          <w:lang w:val="en-NZ"/>
        </w:rPr>
        <w:t xml:space="preserve"> of GMP reductions identified by McDowell (2010) with comprehensive catchment-wide uptake suggests a 40% reduction in pastoral P loss is possible. </w:t>
      </w:r>
    </w:p>
    <w:p w14:paraId="4F966E9C" w14:textId="404415DE" w:rsidR="009E6861" w:rsidRPr="00C36EB0" w:rsidRDefault="009E6861" w:rsidP="00567EC2">
      <w:pPr>
        <w:numPr>
          <w:ilvl w:val="0"/>
          <w:numId w:val="21"/>
        </w:numPr>
        <w:spacing w:before="60" w:after="60"/>
        <w:rPr>
          <w:rFonts w:asciiTheme="minorHAnsi" w:hAnsiTheme="minorHAnsi"/>
          <w:lang w:val="en-NZ"/>
        </w:rPr>
      </w:pPr>
      <w:r w:rsidRPr="00C36EB0">
        <w:rPr>
          <w:rFonts w:asciiTheme="minorHAnsi" w:hAnsiTheme="minorHAnsi"/>
          <w:lang w:val="en-NZ"/>
        </w:rPr>
        <w:t>E</w:t>
      </w:r>
      <w:r w:rsidR="00567EC2" w:rsidRPr="00C36EB0">
        <w:rPr>
          <w:rFonts w:asciiTheme="minorHAnsi" w:hAnsiTheme="minorHAnsi"/>
          <w:lang w:val="en-NZ"/>
        </w:rPr>
        <w:t>xamination of a</w:t>
      </w:r>
      <w:r w:rsidRPr="00C36EB0">
        <w:rPr>
          <w:rFonts w:asciiTheme="minorHAnsi" w:hAnsiTheme="minorHAnsi"/>
          <w:lang w:val="en-NZ"/>
        </w:rPr>
        <w:t xml:space="preserve"> detailed</w:t>
      </w:r>
      <w:r w:rsidR="00567EC2" w:rsidRPr="00C36EB0">
        <w:rPr>
          <w:rFonts w:asciiTheme="minorHAnsi" w:hAnsiTheme="minorHAnsi"/>
          <w:lang w:val="en-NZ"/>
        </w:rPr>
        <w:t xml:space="preserve"> industry GMP guide </w:t>
      </w:r>
      <w:r w:rsidRPr="00C36EB0">
        <w:rPr>
          <w:rFonts w:asciiTheme="minorHAnsi" w:hAnsiTheme="minorHAnsi"/>
          <w:lang w:val="en-NZ"/>
        </w:rPr>
        <w:t xml:space="preserve">(B&amp;LNZ, 2015) </w:t>
      </w:r>
      <w:r w:rsidR="00567EC2" w:rsidRPr="00C36EB0">
        <w:rPr>
          <w:rFonts w:asciiTheme="minorHAnsi" w:hAnsiTheme="minorHAnsi"/>
          <w:lang w:val="en-NZ"/>
        </w:rPr>
        <w:t xml:space="preserve">showed </w:t>
      </w:r>
      <w:r w:rsidRPr="00C36EB0">
        <w:rPr>
          <w:rFonts w:asciiTheme="minorHAnsi" w:hAnsiTheme="minorHAnsi"/>
          <w:lang w:val="en-NZ"/>
        </w:rPr>
        <w:t xml:space="preserve">relatively few GMPs delivered substantive dual N and P reductions i.e. a focus on N may not </w:t>
      </w:r>
      <w:r w:rsidR="009E5072" w:rsidRPr="00C36EB0">
        <w:rPr>
          <w:rFonts w:asciiTheme="minorHAnsi" w:hAnsiTheme="minorHAnsi"/>
          <w:lang w:val="en-NZ"/>
        </w:rPr>
        <w:t xml:space="preserve">necessarily </w:t>
      </w:r>
      <w:r w:rsidRPr="00C36EB0">
        <w:rPr>
          <w:rFonts w:asciiTheme="minorHAnsi" w:hAnsiTheme="minorHAnsi"/>
          <w:lang w:val="en-NZ"/>
        </w:rPr>
        <w:t>result in</w:t>
      </w:r>
      <w:r w:rsidR="009E5072" w:rsidRPr="00C36EB0">
        <w:rPr>
          <w:rFonts w:asciiTheme="minorHAnsi" w:hAnsiTheme="minorHAnsi"/>
          <w:lang w:val="en-NZ"/>
        </w:rPr>
        <w:t xml:space="preserve"> substantive</w:t>
      </w:r>
      <w:r w:rsidRPr="00C36EB0">
        <w:rPr>
          <w:rFonts w:asciiTheme="minorHAnsi" w:hAnsiTheme="minorHAnsi"/>
          <w:lang w:val="en-NZ"/>
        </w:rPr>
        <w:t xml:space="preserve"> ‘P bycatch’.</w:t>
      </w:r>
      <w:r w:rsidR="00D66467" w:rsidRPr="00C36EB0">
        <w:rPr>
          <w:rFonts w:asciiTheme="minorHAnsi" w:hAnsiTheme="minorHAnsi"/>
          <w:lang w:val="en-NZ"/>
        </w:rPr>
        <w:t xml:space="preserve"> This places a greater reliance on land use change. </w:t>
      </w:r>
    </w:p>
    <w:p w14:paraId="591E2772" w14:textId="34E2CBC2" w:rsidR="00567EC2" w:rsidRPr="00C36EB0" w:rsidRDefault="009E6861" w:rsidP="00567EC2">
      <w:pPr>
        <w:numPr>
          <w:ilvl w:val="0"/>
          <w:numId w:val="21"/>
        </w:numPr>
        <w:spacing w:before="60" w:after="60"/>
        <w:rPr>
          <w:rFonts w:asciiTheme="minorHAnsi" w:hAnsiTheme="minorHAnsi"/>
          <w:lang w:val="en-NZ"/>
        </w:rPr>
      </w:pPr>
      <w:r w:rsidRPr="00C36EB0">
        <w:rPr>
          <w:rFonts w:asciiTheme="minorHAnsi" w:hAnsiTheme="minorHAnsi"/>
          <w:lang w:val="en-NZ"/>
        </w:rPr>
        <w:t>The GMP of avoiding e</w:t>
      </w:r>
      <w:r w:rsidR="007C7E90" w:rsidRPr="00C36EB0">
        <w:rPr>
          <w:rFonts w:asciiTheme="minorHAnsi" w:hAnsiTheme="minorHAnsi"/>
          <w:lang w:val="en-NZ"/>
        </w:rPr>
        <w:t>levated</w:t>
      </w:r>
      <w:r w:rsidRPr="00C36EB0">
        <w:rPr>
          <w:rFonts w:asciiTheme="minorHAnsi" w:hAnsiTheme="minorHAnsi"/>
          <w:lang w:val="en-NZ"/>
        </w:rPr>
        <w:t xml:space="preserve"> </w:t>
      </w:r>
      <w:r w:rsidR="007C7E90" w:rsidRPr="00C36EB0">
        <w:rPr>
          <w:rFonts w:asciiTheme="minorHAnsi" w:hAnsiTheme="minorHAnsi"/>
          <w:lang w:val="en-NZ"/>
        </w:rPr>
        <w:t xml:space="preserve">soil </w:t>
      </w:r>
      <w:r w:rsidRPr="00C36EB0">
        <w:rPr>
          <w:rFonts w:asciiTheme="minorHAnsi" w:hAnsiTheme="minorHAnsi"/>
          <w:lang w:val="en-NZ"/>
        </w:rPr>
        <w:t xml:space="preserve">Olsen P levels can deliver large reductions in P loss from pastoral land but this is difficult to estimate, especially given the lack of robust (and accessible) Rotorua farm data on current Olsen P levels. </w:t>
      </w:r>
    </w:p>
    <w:p w14:paraId="362C7608" w14:textId="004F7E2F" w:rsidR="007C7E90" w:rsidRPr="00C36EB0" w:rsidRDefault="009E6861" w:rsidP="00567EC2">
      <w:pPr>
        <w:numPr>
          <w:ilvl w:val="0"/>
          <w:numId w:val="21"/>
        </w:numPr>
        <w:spacing w:before="60" w:after="60"/>
        <w:rPr>
          <w:rFonts w:asciiTheme="minorHAnsi" w:hAnsiTheme="minorHAnsi"/>
          <w:lang w:val="en-NZ"/>
        </w:rPr>
      </w:pPr>
      <w:r w:rsidRPr="00C36EB0">
        <w:rPr>
          <w:rFonts w:asciiTheme="minorHAnsi" w:hAnsiTheme="minorHAnsi"/>
          <w:lang w:val="en-NZ"/>
        </w:rPr>
        <w:t xml:space="preserve">PC10 includes P-related provisions which could deliver meaningful reductions in farm P loss. </w:t>
      </w:r>
      <w:r w:rsidR="007C7E90" w:rsidRPr="00C36EB0">
        <w:rPr>
          <w:rFonts w:asciiTheme="minorHAnsi" w:hAnsiTheme="minorHAnsi"/>
          <w:lang w:val="en-NZ"/>
        </w:rPr>
        <w:t>A</w:t>
      </w:r>
      <w:r w:rsidRPr="00C36EB0">
        <w:rPr>
          <w:rFonts w:asciiTheme="minorHAnsi" w:hAnsiTheme="minorHAnsi"/>
          <w:lang w:val="en-NZ"/>
        </w:rPr>
        <w:t xml:space="preserve"> </w:t>
      </w:r>
      <w:r w:rsidR="007C7E90" w:rsidRPr="00C36EB0">
        <w:rPr>
          <w:rFonts w:asciiTheme="minorHAnsi" w:hAnsiTheme="minorHAnsi"/>
          <w:lang w:val="en-NZ"/>
        </w:rPr>
        <w:t xml:space="preserve">small </w:t>
      </w:r>
      <w:r w:rsidRPr="00C36EB0">
        <w:rPr>
          <w:rFonts w:asciiTheme="minorHAnsi" w:hAnsiTheme="minorHAnsi"/>
          <w:lang w:val="en-NZ"/>
        </w:rPr>
        <w:t xml:space="preserve">review of </w:t>
      </w:r>
      <w:r w:rsidR="00D66467" w:rsidRPr="00C36EB0">
        <w:rPr>
          <w:rFonts w:asciiTheme="minorHAnsi" w:hAnsiTheme="minorHAnsi"/>
          <w:lang w:val="en-NZ"/>
        </w:rPr>
        <w:t xml:space="preserve">existing </w:t>
      </w:r>
      <w:r w:rsidRPr="00C36EB0">
        <w:rPr>
          <w:rFonts w:asciiTheme="minorHAnsi" w:hAnsiTheme="minorHAnsi"/>
          <w:lang w:val="en-NZ"/>
        </w:rPr>
        <w:t>Nitrogen Management Plans (NMPs) and OVERSEER files suggests P outcomes are uncertain</w:t>
      </w:r>
      <w:r w:rsidR="003321A2" w:rsidRPr="00C36EB0">
        <w:rPr>
          <w:rFonts w:asciiTheme="minorHAnsi" w:hAnsiTheme="minorHAnsi"/>
          <w:lang w:val="en-NZ"/>
        </w:rPr>
        <w:t xml:space="preserve"> and variable from farm to farm. </w:t>
      </w:r>
    </w:p>
    <w:p w14:paraId="74DC12E8" w14:textId="1203C86B" w:rsidR="005C38AB" w:rsidRPr="00C36EB0" w:rsidRDefault="007C7E90" w:rsidP="00567EC2">
      <w:pPr>
        <w:numPr>
          <w:ilvl w:val="0"/>
          <w:numId w:val="21"/>
        </w:numPr>
        <w:spacing w:before="60" w:after="60"/>
        <w:rPr>
          <w:rFonts w:asciiTheme="minorHAnsi" w:hAnsiTheme="minorHAnsi"/>
          <w:lang w:val="en-NZ"/>
        </w:rPr>
      </w:pPr>
      <w:r w:rsidRPr="00C36EB0">
        <w:rPr>
          <w:rFonts w:asciiTheme="minorHAnsi" w:hAnsiTheme="minorHAnsi"/>
          <w:lang w:val="en-NZ"/>
        </w:rPr>
        <w:t>Amendments to PC10 (proposed by staff in response to submissions) increases the focus on P, especially on Critical Source Areas which can contribute up to 80% of farm P loss.</w:t>
      </w:r>
    </w:p>
    <w:p w14:paraId="39CE4DF6" w14:textId="206E4339" w:rsidR="003321A2" w:rsidRPr="00C36EB0" w:rsidRDefault="003321A2" w:rsidP="00567EC2">
      <w:pPr>
        <w:numPr>
          <w:ilvl w:val="0"/>
          <w:numId w:val="21"/>
        </w:numPr>
        <w:spacing w:before="60" w:after="60"/>
        <w:rPr>
          <w:rFonts w:asciiTheme="minorHAnsi" w:hAnsiTheme="minorHAnsi"/>
          <w:lang w:val="en-NZ"/>
        </w:rPr>
      </w:pPr>
      <w:r w:rsidRPr="00C36EB0">
        <w:rPr>
          <w:rFonts w:asciiTheme="minorHAnsi" w:hAnsiTheme="minorHAnsi"/>
          <w:lang w:val="en-NZ"/>
        </w:rPr>
        <w:t>A comprehensive catchment economic model (Parsons et al, 2015) provide</w:t>
      </w:r>
      <w:r w:rsidR="00D66467" w:rsidRPr="00C36EB0">
        <w:rPr>
          <w:rFonts w:asciiTheme="minorHAnsi" w:hAnsiTheme="minorHAnsi"/>
          <w:lang w:val="en-NZ"/>
        </w:rPr>
        <w:t>s</w:t>
      </w:r>
      <w:r w:rsidRPr="00C36EB0">
        <w:rPr>
          <w:rFonts w:asciiTheme="minorHAnsi" w:hAnsiTheme="minorHAnsi"/>
          <w:lang w:val="en-NZ"/>
        </w:rPr>
        <w:t xml:space="preserve"> P </w:t>
      </w:r>
      <w:r w:rsidR="002A0772" w:rsidRPr="00C36EB0">
        <w:rPr>
          <w:rFonts w:asciiTheme="minorHAnsi" w:hAnsiTheme="minorHAnsi"/>
          <w:lang w:val="en-NZ"/>
        </w:rPr>
        <w:t xml:space="preserve">loss </w:t>
      </w:r>
      <w:r w:rsidRPr="00C36EB0">
        <w:rPr>
          <w:rFonts w:asciiTheme="minorHAnsi" w:hAnsiTheme="minorHAnsi"/>
          <w:lang w:val="en-NZ"/>
        </w:rPr>
        <w:t xml:space="preserve">data as well as N </w:t>
      </w:r>
      <w:r w:rsidR="002A0772" w:rsidRPr="00C36EB0">
        <w:rPr>
          <w:rFonts w:asciiTheme="minorHAnsi" w:hAnsiTheme="minorHAnsi"/>
          <w:lang w:val="en-NZ"/>
        </w:rPr>
        <w:t xml:space="preserve">data. This </w:t>
      </w:r>
      <w:r w:rsidRPr="00C36EB0">
        <w:rPr>
          <w:rFonts w:asciiTheme="minorHAnsi" w:hAnsiTheme="minorHAnsi"/>
          <w:lang w:val="en-NZ"/>
        </w:rPr>
        <w:t>showed that PC10</w:t>
      </w:r>
      <w:r w:rsidR="002A0772" w:rsidRPr="00C36EB0">
        <w:rPr>
          <w:rFonts w:asciiTheme="minorHAnsi" w:hAnsiTheme="minorHAnsi"/>
          <w:lang w:val="en-NZ"/>
        </w:rPr>
        <w:t xml:space="preserve"> </w:t>
      </w:r>
      <w:r w:rsidR="00C36EB0">
        <w:rPr>
          <w:rFonts w:asciiTheme="minorHAnsi" w:hAnsiTheme="minorHAnsi"/>
          <w:lang w:val="en-NZ"/>
        </w:rPr>
        <w:t>(</w:t>
      </w:r>
      <w:r w:rsidR="002A0772" w:rsidRPr="00C36EB0">
        <w:rPr>
          <w:rFonts w:asciiTheme="minorHAnsi" w:hAnsiTheme="minorHAnsi"/>
          <w:lang w:val="en-NZ"/>
        </w:rPr>
        <w:t>plus the incentives scheme</w:t>
      </w:r>
      <w:r w:rsidR="00C36EB0">
        <w:rPr>
          <w:rFonts w:asciiTheme="minorHAnsi" w:hAnsiTheme="minorHAnsi"/>
          <w:lang w:val="en-NZ"/>
        </w:rPr>
        <w:t>)</w:t>
      </w:r>
      <w:r w:rsidR="002A0772" w:rsidRPr="00C36EB0">
        <w:rPr>
          <w:rFonts w:asciiTheme="minorHAnsi" w:hAnsiTheme="minorHAnsi"/>
          <w:lang w:val="en-NZ"/>
        </w:rPr>
        <w:t xml:space="preserve"> could reduce P load by ~12 tP/yr or 32% (based on OVERSEER 6.1.3 </w:t>
      </w:r>
      <w:r w:rsidR="00C36EB0">
        <w:rPr>
          <w:rFonts w:asciiTheme="minorHAnsi" w:hAnsiTheme="minorHAnsi"/>
          <w:lang w:val="en-NZ"/>
        </w:rPr>
        <w:t>and ignoring attenuation</w:t>
      </w:r>
      <w:r w:rsidR="002A0772" w:rsidRPr="00C36EB0">
        <w:rPr>
          <w:rFonts w:asciiTheme="minorHAnsi" w:hAnsiTheme="minorHAnsi"/>
          <w:lang w:val="en-NZ"/>
        </w:rPr>
        <w:t>), driven largely by ~6000 ha of land use change from pasture to pines. This promising result was sensitive to the assumed forestry P loss – if this rate increased from 0.12 to 1.0 kgP/ha/yr, the total P load reduction was ~5 tP/yr (or 12%).</w:t>
      </w:r>
    </w:p>
    <w:p w14:paraId="7F58D2FF" w14:textId="75309532" w:rsidR="002A0772" w:rsidRPr="00FD10D1" w:rsidRDefault="002A0772" w:rsidP="00FD10D1">
      <w:pPr>
        <w:numPr>
          <w:ilvl w:val="0"/>
          <w:numId w:val="21"/>
        </w:numPr>
        <w:spacing w:before="60" w:after="60"/>
        <w:rPr>
          <w:rFonts w:asciiTheme="minorHAnsi" w:hAnsiTheme="minorHAnsi"/>
          <w:lang w:val="en-NZ"/>
        </w:rPr>
      </w:pPr>
      <w:r w:rsidRPr="00C36EB0">
        <w:rPr>
          <w:rFonts w:asciiTheme="minorHAnsi" w:hAnsiTheme="minorHAnsi"/>
          <w:lang w:val="en-NZ"/>
        </w:rPr>
        <w:t>There are several other lake programme actions that will reduce P load by varying degrees</w:t>
      </w:r>
      <w:r w:rsidR="00D66467" w:rsidRPr="00C36EB0">
        <w:rPr>
          <w:rFonts w:asciiTheme="minorHAnsi" w:hAnsiTheme="minorHAnsi"/>
          <w:lang w:val="en-NZ"/>
        </w:rPr>
        <w:t>, including alum dosing</w:t>
      </w:r>
      <w:r w:rsidR="00C36EB0">
        <w:rPr>
          <w:rFonts w:asciiTheme="minorHAnsi" w:hAnsiTheme="minorHAnsi"/>
          <w:lang w:val="en-NZ"/>
        </w:rPr>
        <w:t>, sewage/stormwater upgrades</w:t>
      </w:r>
      <w:r w:rsidR="00D66467" w:rsidRPr="00C36EB0">
        <w:rPr>
          <w:rFonts w:asciiTheme="minorHAnsi" w:hAnsiTheme="minorHAnsi"/>
          <w:lang w:val="en-NZ"/>
        </w:rPr>
        <w:t xml:space="preserve"> and detainment bunds.</w:t>
      </w:r>
      <w:r w:rsidRPr="00C36EB0">
        <w:rPr>
          <w:rFonts w:asciiTheme="minorHAnsi" w:hAnsiTheme="minorHAnsi"/>
          <w:lang w:val="en-NZ"/>
        </w:rPr>
        <w:t xml:space="preserve"> Further work is needed to assess the range of such </w:t>
      </w:r>
      <w:r w:rsidR="009E5072" w:rsidRPr="00C36EB0">
        <w:rPr>
          <w:rFonts w:asciiTheme="minorHAnsi" w:hAnsiTheme="minorHAnsi"/>
          <w:lang w:val="en-NZ"/>
        </w:rPr>
        <w:t xml:space="preserve">P </w:t>
      </w:r>
      <w:r w:rsidRPr="00C36EB0">
        <w:rPr>
          <w:rFonts w:asciiTheme="minorHAnsi" w:hAnsiTheme="minorHAnsi"/>
          <w:lang w:val="en-NZ"/>
        </w:rPr>
        <w:t xml:space="preserve">reductions. </w:t>
      </w:r>
      <w:r w:rsidRPr="00FD10D1">
        <w:rPr>
          <w:rFonts w:asciiTheme="minorHAnsi" w:hAnsiTheme="minorHAnsi"/>
          <w:lang w:val="en-NZ"/>
        </w:rPr>
        <w:br w:type="page"/>
      </w:r>
    </w:p>
    <w:p w14:paraId="0DA3729B" w14:textId="4ACD5077" w:rsidR="00FF15CA" w:rsidRPr="000D1385" w:rsidRDefault="00FF15CA" w:rsidP="003E0DC3">
      <w:pPr>
        <w:spacing w:before="240" w:after="60" w:line="264" w:lineRule="auto"/>
        <w:rPr>
          <w:rFonts w:asciiTheme="minorHAnsi" w:hAnsiTheme="minorHAnsi" w:cs="Calibri"/>
          <w:b/>
          <w:sz w:val="28"/>
          <w:szCs w:val="28"/>
          <w:lang w:val="en-NZ"/>
        </w:rPr>
      </w:pPr>
      <w:r w:rsidRPr="000D1385">
        <w:rPr>
          <w:rFonts w:asciiTheme="minorHAnsi" w:hAnsiTheme="minorHAnsi" w:cs="Calibri"/>
          <w:b/>
          <w:sz w:val="28"/>
          <w:szCs w:val="28"/>
          <w:lang w:val="en-NZ"/>
        </w:rPr>
        <w:lastRenderedPageBreak/>
        <w:t>Background</w:t>
      </w:r>
      <w:r w:rsidR="003E0DC3" w:rsidRPr="000D1385">
        <w:rPr>
          <w:rFonts w:asciiTheme="minorHAnsi" w:hAnsiTheme="minorHAnsi" w:cs="Calibri"/>
          <w:b/>
          <w:sz w:val="28"/>
          <w:szCs w:val="28"/>
          <w:lang w:val="en-NZ"/>
        </w:rPr>
        <w:t xml:space="preserve"> </w:t>
      </w:r>
      <w:r w:rsidR="003E0DC3" w:rsidRPr="000D1385">
        <w:rPr>
          <w:rFonts w:asciiTheme="minorHAnsi" w:hAnsiTheme="minorHAnsi" w:cs="Calibri"/>
          <w:lang w:val="en-NZ"/>
        </w:rPr>
        <w:t xml:space="preserve">(from </w:t>
      </w:r>
      <w:r w:rsidR="00D66467">
        <w:rPr>
          <w:rFonts w:asciiTheme="minorHAnsi" w:hAnsiTheme="minorHAnsi" w:cs="Calibri"/>
          <w:lang w:val="en-NZ"/>
        </w:rPr>
        <w:t>Stephen Lamb</w:t>
      </w:r>
      <w:r w:rsidR="003E0DC3" w:rsidRPr="000D1385">
        <w:rPr>
          <w:rFonts w:asciiTheme="minorHAnsi" w:hAnsiTheme="minorHAnsi" w:cs="Calibri"/>
          <w:lang w:val="en-NZ"/>
        </w:rPr>
        <w:t xml:space="preserve"> ‘Approach to Phosphorus Project’ note, 8 Nov 2016)</w:t>
      </w:r>
    </w:p>
    <w:p w14:paraId="5270626C" w14:textId="7228D4E3" w:rsidR="003E0DC3" w:rsidRPr="000D1385" w:rsidRDefault="003E0DC3" w:rsidP="003E0DC3">
      <w:pPr>
        <w:spacing w:before="60" w:after="60"/>
        <w:rPr>
          <w:rFonts w:asciiTheme="minorHAnsi" w:hAnsiTheme="minorHAnsi"/>
          <w:lang w:val="en-NZ"/>
        </w:rPr>
      </w:pPr>
      <w:r w:rsidRPr="000D1385">
        <w:rPr>
          <w:rFonts w:asciiTheme="minorHAnsi" w:hAnsiTheme="minorHAnsi"/>
          <w:lang w:val="en-NZ"/>
        </w:rPr>
        <w:t xml:space="preserve">Discussion at BOPRC’s November 2016 Phosphorus Workshop </w:t>
      </w:r>
      <w:r w:rsidR="00D66467">
        <w:rPr>
          <w:rFonts w:asciiTheme="minorHAnsi" w:hAnsiTheme="minorHAnsi"/>
          <w:lang w:val="en-NZ"/>
        </w:rPr>
        <w:t xml:space="preserve">raised </w:t>
      </w:r>
      <w:r w:rsidRPr="000D1385">
        <w:rPr>
          <w:rFonts w:asciiTheme="minorHAnsi" w:hAnsiTheme="minorHAnsi"/>
          <w:lang w:val="en-NZ"/>
        </w:rPr>
        <w:t>question</w:t>
      </w:r>
      <w:r w:rsidR="00D66467">
        <w:rPr>
          <w:rFonts w:asciiTheme="minorHAnsi" w:hAnsiTheme="minorHAnsi"/>
          <w:lang w:val="en-NZ"/>
        </w:rPr>
        <w:t>s</w:t>
      </w:r>
      <w:r w:rsidRPr="000D1385">
        <w:rPr>
          <w:rFonts w:asciiTheme="minorHAnsi" w:hAnsiTheme="minorHAnsi"/>
          <w:lang w:val="en-NZ"/>
        </w:rPr>
        <w:t xml:space="preserve"> around Council’s approach to phosphorus. This comes about due to the importance of </w:t>
      </w:r>
      <w:r w:rsidR="00D66467">
        <w:rPr>
          <w:rFonts w:asciiTheme="minorHAnsi" w:hAnsiTheme="minorHAnsi"/>
          <w:lang w:val="en-NZ"/>
        </w:rPr>
        <w:t xml:space="preserve">maintaining a suitable </w:t>
      </w:r>
      <w:r w:rsidRPr="000D1385">
        <w:rPr>
          <w:rFonts w:asciiTheme="minorHAnsi" w:hAnsiTheme="minorHAnsi"/>
          <w:lang w:val="en-NZ"/>
        </w:rPr>
        <w:t xml:space="preserve">N:P ratio within Lake Rotorua and the </w:t>
      </w:r>
      <w:r w:rsidR="00D66467">
        <w:rPr>
          <w:rFonts w:asciiTheme="minorHAnsi" w:hAnsiTheme="minorHAnsi"/>
          <w:lang w:val="en-NZ"/>
        </w:rPr>
        <w:t xml:space="preserve">current </w:t>
      </w:r>
      <w:r w:rsidRPr="000D1385">
        <w:rPr>
          <w:rFonts w:asciiTheme="minorHAnsi" w:hAnsiTheme="minorHAnsi"/>
          <w:lang w:val="en-NZ"/>
        </w:rPr>
        <w:t xml:space="preserve">focus of PC10 </w:t>
      </w:r>
      <w:r w:rsidR="00D66467">
        <w:rPr>
          <w:rFonts w:asciiTheme="minorHAnsi" w:hAnsiTheme="minorHAnsi"/>
          <w:lang w:val="en-NZ"/>
        </w:rPr>
        <w:t xml:space="preserve">being </w:t>
      </w:r>
      <w:r w:rsidRPr="000D1385">
        <w:rPr>
          <w:rFonts w:asciiTheme="minorHAnsi" w:hAnsiTheme="minorHAnsi"/>
          <w:lang w:val="en-NZ"/>
        </w:rPr>
        <w:t xml:space="preserve">nitrogen. </w:t>
      </w:r>
      <w:r w:rsidR="009E5072">
        <w:rPr>
          <w:rFonts w:asciiTheme="minorHAnsi" w:hAnsiTheme="minorHAnsi"/>
          <w:lang w:val="en-NZ"/>
        </w:rPr>
        <w:t>T</w:t>
      </w:r>
      <w:r w:rsidR="00D66467">
        <w:rPr>
          <w:rFonts w:asciiTheme="minorHAnsi" w:hAnsiTheme="minorHAnsi"/>
          <w:lang w:val="en-NZ"/>
        </w:rPr>
        <w:t>o date B</w:t>
      </w:r>
      <w:r w:rsidR="00D81D74">
        <w:rPr>
          <w:rFonts w:asciiTheme="minorHAnsi" w:hAnsiTheme="minorHAnsi"/>
          <w:lang w:val="en-NZ"/>
        </w:rPr>
        <w:t>O</w:t>
      </w:r>
      <w:r w:rsidR="00D66467">
        <w:rPr>
          <w:rFonts w:asciiTheme="minorHAnsi" w:hAnsiTheme="minorHAnsi"/>
          <w:lang w:val="en-NZ"/>
        </w:rPr>
        <w:t>PRC ha</w:t>
      </w:r>
      <w:r w:rsidR="00D81D74">
        <w:rPr>
          <w:rFonts w:asciiTheme="minorHAnsi" w:hAnsiTheme="minorHAnsi"/>
          <w:lang w:val="en-NZ"/>
        </w:rPr>
        <w:t>s</w:t>
      </w:r>
      <w:r w:rsidR="00D66467">
        <w:rPr>
          <w:rFonts w:asciiTheme="minorHAnsi" w:hAnsiTheme="minorHAnsi"/>
          <w:lang w:val="en-NZ"/>
        </w:rPr>
        <w:t xml:space="preserve"> considered that</w:t>
      </w:r>
      <w:r w:rsidRPr="000D1385">
        <w:rPr>
          <w:rFonts w:asciiTheme="minorHAnsi" w:hAnsiTheme="minorHAnsi"/>
          <w:lang w:val="en-NZ"/>
        </w:rPr>
        <w:t xml:space="preserve"> nitrogen</w:t>
      </w:r>
      <w:r w:rsidR="00D66467">
        <w:rPr>
          <w:rFonts w:asciiTheme="minorHAnsi" w:hAnsiTheme="minorHAnsi"/>
          <w:lang w:val="en-NZ"/>
        </w:rPr>
        <w:t xml:space="preserve"> reduction</w:t>
      </w:r>
      <w:r w:rsidRPr="000D1385">
        <w:rPr>
          <w:rFonts w:asciiTheme="minorHAnsi" w:hAnsiTheme="minorHAnsi"/>
          <w:lang w:val="en-NZ"/>
        </w:rPr>
        <w:t xml:space="preserve"> </w:t>
      </w:r>
      <w:r w:rsidR="00D81D74">
        <w:rPr>
          <w:rFonts w:asciiTheme="minorHAnsi" w:hAnsiTheme="minorHAnsi"/>
          <w:lang w:val="en-NZ"/>
        </w:rPr>
        <w:t xml:space="preserve">initiatives </w:t>
      </w:r>
      <w:r w:rsidRPr="000D1385">
        <w:rPr>
          <w:rFonts w:asciiTheme="minorHAnsi" w:hAnsiTheme="minorHAnsi"/>
          <w:lang w:val="en-NZ"/>
        </w:rPr>
        <w:t>will</w:t>
      </w:r>
      <w:r w:rsidR="00D81D74">
        <w:rPr>
          <w:rFonts w:asciiTheme="minorHAnsi" w:hAnsiTheme="minorHAnsi"/>
          <w:lang w:val="en-NZ"/>
        </w:rPr>
        <w:t xml:space="preserve"> also</w:t>
      </w:r>
      <w:r w:rsidRPr="000D1385">
        <w:rPr>
          <w:rFonts w:asciiTheme="minorHAnsi" w:hAnsiTheme="minorHAnsi"/>
          <w:lang w:val="en-NZ"/>
        </w:rPr>
        <w:t xml:space="preserve"> achieve </w:t>
      </w:r>
      <w:r w:rsidR="00D81D74">
        <w:rPr>
          <w:rFonts w:asciiTheme="minorHAnsi" w:hAnsiTheme="minorHAnsi"/>
          <w:lang w:val="en-NZ"/>
        </w:rPr>
        <w:t xml:space="preserve">adequate </w:t>
      </w:r>
      <w:r w:rsidRPr="000D1385">
        <w:rPr>
          <w:rFonts w:asciiTheme="minorHAnsi" w:hAnsiTheme="minorHAnsi"/>
          <w:lang w:val="en-NZ"/>
        </w:rPr>
        <w:t>phosphorus reductions</w:t>
      </w:r>
      <w:r w:rsidR="00D81D74">
        <w:rPr>
          <w:rFonts w:asciiTheme="minorHAnsi" w:hAnsiTheme="minorHAnsi"/>
          <w:lang w:val="en-NZ"/>
        </w:rPr>
        <w:t>. D</w:t>
      </w:r>
      <w:r w:rsidRPr="000D1385">
        <w:rPr>
          <w:rFonts w:asciiTheme="minorHAnsi" w:hAnsiTheme="minorHAnsi"/>
          <w:lang w:val="en-NZ"/>
        </w:rPr>
        <w:t>iscussion</w:t>
      </w:r>
      <w:r w:rsidR="00D81D74">
        <w:rPr>
          <w:rFonts w:asciiTheme="minorHAnsi" w:hAnsiTheme="minorHAnsi"/>
          <w:lang w:val="en-NZ"/>
        </w:rPr>
        <w:t xml:space="preserve"> and </w:t>
      </w:r>
      <w:r w:rsidRPr="000D1385">
        <w:rPr>
          <w:rFonts w:asciiTheme="minorHAnsi" w:hAnsiTheme="minorHAnsi"/>
          <w:lang w:val="en-NZ"/>
        </w:rPr>
        <w:t xml:space="preserve">presentations at the workshop indicated that this assumption does not necessarily hold true when farmers are looking for nitrogen mitigation actions to meet the proposed rules </w:t>
      </w:r>
      <w:r w:rsidR="00D66467">
        <w:rPr>
          <w:rFonts w:asciiTheme="minorHAnsi" w:hAnsiTheme="minorHAnsi"/>
          <w:lang w:val="en-NZ"/>
        </w:rPr>
        <w:t xml:space="preserve">based </w:t>
      </w:r>
      <w:r w:rsidRPr="000D1385">
        <w:rPr>
          <w:rFonts w:asciiTheme="minorHAnsi" w:hAnsiTheme="minorHAnsi"/>
          <w:lang w:val="en-NZ"/>
        </w:rPr>
        <w:t xml:space="preserve">on an “ease of </w:t>
      </w:r>
      <w:r w:rsidR="00D66467">
        <w:rPr>
          <w:rFonts w:asciiTheme="minorHAnsi" w:hAnsiTheme="minorHAnsi"/>
          <w:lang w:val="en-NZ"/>
        </w:rPr>
        <w:t>implementation</w:t>
      </w:r>
      <w:r w:rsidRPr="000D1385">
        <w:rPr>
          <w:rFonts w:asciiTheme="minorHAnsi" w:hAnsiTheme="minorHAnsi"/>
          <w:lang w:val="en-NZ"/>
        </w:rPr>
        <w:t>” basis. For example, reductions in stock numbers do not deliver a similar ratio of reductions in phosphorus loss.</w:t>
      </w:r>
    </w:p>
    <w:p w14:paraId="3C7CB954" w14:textId="4115A66B" w:rsidR="003E0DC3" w:rsidRPr="000D1385" w:rsidRDefault="003E0DC3" w:rsidP="003E0DC3">
      <w:pPr>
        <w:spacing w:before="60" w:after="60"/>
        <w:rPr>
          <w:rFonts w:asciiTheme="minorHAnsi" w:hAnsiTheme="minorHAnsi"/>
          <w:lang w:val="en-NZ"/>
        </w:rPr>
      </w:pPr>
      <w:r w:rsidRPr="000D1385">
        <w:rPr>
          <w:rFonts w:asciiTheme="minorHAnsi" w:hAnsiTheme="minorHAnsi"/>
          <w:lang w:val="en-NZ"/>
        </w:rPr>
        <w:t>However,</w:t>
      </w:r>
      <w:r w:rsidR="00D81D74">
        <w:rPr>
          <w:rFonts w:asciiTheme="minorHAnsi" w:hAnsiTheme="minorHAnsi"/>
          <w:lang w:val="en-NZ"/>
        </w:rPr>
        <w:t xml:space="preserve"> </w:t>
      </w:r>
      <w:r w:rsidR="00D66467">
        <w:rPr>
          <w:rFonts w:asciiTheme="minorHAnsi" w:hAnsiTheme="minorHAnsi"/>
          <w:lang w:val="en-NZ"/>
        </w:rPr>
        <w:t>it is noted that PC10 is one segment of the wider</w:t>
      </w:r>
      <w:r w:rsidRPr="000D1385">
        <w:rPr>
          <w:rFonts w:asciiTheme="minorHAnsi" w:hAnsiTheme="minorHAnsi"/>
          <w:lang w:val="en-NZ"/>
        </w:rPr>
        <w:t xml:space="preserve"> Rotorua Lakes Programme </w:t>
      </w:r>
      <w:r w:rsidR="00D66467">
        <w:rPr>
          <w:rFonts w:asciiTheme="minorHAnsi" w:hAnsiTheme="minorHAnsi"/>
          <w:lang w:val="en-NZ"/>
        </w:rPr>
        <w:t>which manages</w:t>
      </w:r>
      <w:r w:rsidRPr="000D1385">
        <w:rPr>
          <w:rFonts w:asciiTheme="minorHAnsi" w:hAnsiTheme="minorHAnsi"/>
          <w:lang w:val="en-NZ"/>
        </w:rPr>
        <w:t xml:space="preserve"> </w:t>
      </w:r>
      <w:r w:rsidR="00DF7CD9">
        <w:rPr>
          <w:rFonts w:asciiTheme="minorHAnsi" w:hAnsiTheme="minorHAnsi"/>
          <w:lang w:val="en-NZ"/>
        </w:rPr>
        <w:t xml:space="preserve">non-regulatory </w:t>
      </w:r>
      <w:r w:rsidRPr="000D1385">
        <w:rPr>
          <w:rFonts w:asciiTheme="minorHAnsi" w:hAnsiTheme="minorHAnsi"/>
          <w:lang w:val="en-NZ"/>
        </w:rPr>
        <w:t>activities that address</w:t>
      </w:r>
      <w:r w:rsidR="00D66467">
        <w:rPr>
          <w:rFonts w:asciiTheme="minorHAnsi" w:hAnsiTheme="minorHAnsi"/>
          <w:lang w:val="en-NZ"/>
        </w:rPr>
        <w:t xml:space="preserve"> either</w:t>
      </w:r>
      <w:r w:rsidRPr="000D1385">
        <w:rPr>
          <w:rFonts w:asciiTheme="minorHAnsi" w:hAnsiTheme="minorHAnsi"/>
          <w:lang w:val="en-NZ"/>
        </w:rPr>
        <w:t xml:space="preserve"> land use change </w:t>
      </w:r>
      <w:r w:rsidR="00D66467">
        <w:rPr>
          <w:rFonts w:asciiTheme="minorHAnsi" w:hAnsiTheme="minorHAnsi"/>
          <w:lang w:val="en-NZ"/>
        </w:rPr>
        <w:t xml:space="preserve">or phosphorus reduction </w:t>
      </w:r>
      <w:r w:rsidRPr="000D1385">
        <w:rPr>
          <w:rFonts w:asciiTheme="minorHAnsi" w:hAnsiTheme="minorHAnsi"/>
          <w:lang w:val="en-NZ"/>
        </w:rPr>
        <w:t>such as the Incentives Board</w:t>
      </w:r>
      <w:r w:rsidR="00DF7CD9">
        <w:rPr>
          <w:rFonts w:asciiTheme="minorHAnsi" w:hAnsiTheme="minorHAnsi"/>
          <w:lang w:val="en-NZ"/>
        </w:rPr>
        <w:t xml:space="preserve">, alum dosing and other engineering methods </w:t>
      </w:r>
      <w:r w:rsidRPr="000D1385">
        <w:rPr>
          <w:rFonts w:asciiTheme="minorHAnsi" w:hAnsiTheme="minorHAnsi"/>
          <w:lang w:val="en-NZ"/>
        </w:rPr>
        <w:t>which will have associated phosphorus reductions.</w:t>
      </w:r>
    </w:p>
    <w:p w14:paraId="17DE9B2B" w14:textId="77777777" w:rsidR="003E0DC3" w:rsidRPr="000D1385" w:rsidRDefault="003E0DC3" w:rsidP="003E0DC3">
      <w:pPr>
        <w:spacing w:before="60" w:after="60"/>
        <w:rPr>
          <w:rFonts w:asciiTheme="minorHAnsi" w:hAnsiTheme="minorHAnsi"/>
          <w:lang w:val="en-NZ"/>
        </w:rPr>
      </w:pPr>
      <w:r w:rsidRPr="000D1385">
        <w:rPr>
          <w:rFonts w:asciiTheme="minorHAnsi" w:hAnsiTheme="minorHAnsi"/>
          <w:lang w:val="en-NZ"/>
        </w:rPr>
        <w:t>Council’s phosphorus position can be summarised as follows:</w:t>
      </w:r>
    </w:p>
    <w:p w14:paraId="51F37751" w14:textId="77777777" w:rsidR="003E0DC3" w:rsidRPr="000D1385" w:rsidRDefault="003E0DC3" w:rsidP="00147F96">
      <w:pPr>
        <w:pStyle w:val="ListParagraph"/>
        <w:numPr>
          <w:ilvl w:val="0"/>
          <w:numId w:val="4"/>
        </w:numPr>
        <w:spacing w:after="120" w:line="276" w:lineRule="auto"/>
        <w:rPr>
          <w:lang w:val="en-NZ"/>
        </w:rPr>
      </w:pPr>
      <w:r w:rsidRPr="000D1385">
        <w:rPr>
          <w:lang w:val="en-NZ"/>
        </w:rPr>
        <w:t>Nitrogen is the regulatory focus</w:t>
      </w:r>
      <w:r w:rsidR="00DF7CD9">
        <w:rPr>
          <w:lang w:val="en-NZ"/>
        </w:rPr>
        <w:t xml:space="preserve"> as set within the Operative RPS</w:t>
      </w:r>
    </w:p>
    <w:p w14:paraId="04354F32" w14:textId="2520B964" w:rsidR="003E0DC3" w:rsidRPr="000D1385" w:rsidRDefault="003E0DC3" w:rsidP="00147F96">
      <w:pPr>
        <w:pStyle w:val="ListParagraph"/>
        <w:numPr>
          <w:ilvl w:val="0"/>
          <w:numId w:val="4"/>
        </w:numPr>
        <w:spacing w:after="120" w:line="276" w:lineRule="auto"/>
        <w:rPr>
          <w:lang w:val="en-NZ"/>
        </w:rPr>
      </w:pPr>
      <w:r w:rsidRPr="000D1385">
        <w:rPr>
          <w:lang w:val="en-NZ"/>
        </w:rPr>
        <w:t xml:space="preserve">Nitrogen reductions will take some time to be experienced in the lake but phosphorus reductions can be achieved </w:t>
      </w:r>
      <w:r w:rsidR="00D81D74">
        <w:rPr>
          <w:lang w:val="en-NZ"/>
        </w:rPr>
        <w:t xml:space="preserve">relatively </w:t>
      </w:r>
      <w:r w:rsidRPr="000D1385">
        <w:rPr>
          <w:lang w:val="en-NZ"/>
        </w:rPr>
        <w:t>quickly in response to any identifiable need into the future</w:t>
      </w:r>
    </w:p>
    <w:p w14:paraId="0C2BF2CE" w14:textId="256A411D" w:rsidR="003E0DC3" w:rsidRPr="000D1385" w:rsidRDefault="003E0DC3" w:rsidP="00147F96">
      <w:pPr>
        <w:pStyle w:val="ListParagraph"/>
        <w:numPr>
          <w:ilvl w:val="0"/>
          <w:numId w:val="4"/>
        </w:numPr>
        <w:spacing w:after="120" w:line="276" w:lineRule="auto"/>
        <w:rPr>
          <w:lang w:val="en-NZ"/>
        </w:rPr>
      </w:pPr>
      <w:r w:rsidRPr="000D1385">
        <w:rPr>
          <w:lang w:val="en-NZ"/>
        </w:rPr>
        <w:t>Alum</w:t>
      </w:r>
      <w:r w:rsidR="00DF7CD9">
        <w:rPr>
          <w:lang w:val="en-NZ"/>
        </w:rPr>
        <w:t xml:space="preserve"> dosing</w:t>
      </w:r>
      <w:r w:rsidRPr="000D1385">
        <w:rPr>
          <w:lang w:val="en-NZ"/>
        </w:rPr>
        <w:t xml:space="preserve"> is a </w:t>
      </w:r>
      <w:r w:rsidR="00BD2851">
        <w:rPr>
          <w:lang w:val="en-NZ"/>
        </w:rPr>
        <w:t>non-permanent,</w:t>
      </w:r>
      <w:r w:rsidRPr="000D1385">
        <w:rPr>
          <w:lang w:val="en-NZ"/>
        </w:rPr>
        <w:t xml:space="preserve"> back-stop </w:t>
      </w:r>
      <w:r w:rsidR="00D81D74">
        <w:rPr>
          <w:lang w:val="en-NZ"/>
        </w:rPr>
        <w:t xml:space="preserve">P </w:t>
      </w:r>
      <w:r w:rsidRPr="000D1385">
        <w:rPr>
          <w:lang w:val="en-NZ"/>
        </w:rPr>
        <w:t>mitigation action within the programme</w:t>
      </w:r>
    </w:p>
    <w:p w14:paraId="0D0E80D0" w14:textId="77777777" w:rsidR="003E0DC3" w:rsidRPr="000D1385" w:rsidRDefault="003E0DC3" w:rsidP="00147F96">
      <w:pPr>
        <w:pStyle w:val="ListParagraph"/>
        <w:numPr>
          <w:ilvl w:val="0"/>
          <w:numId w:val="4"/>
        </w:numPr>
        <w:spacing w:after="120" w:line="276" w:lineRule="auto"/>
        <w:rPr>
          <w:lang w:val="en-NZ"/>
        </w:rPr>
      </w:pPr>
      <w:r w:rsidRPr="000D1385">
        <w:rPr>
          <w:lang w:val="en-NZ"/>
        </w:rPr>
        <w:t>Phosphorus reductions are addressed at a programme level and are anticipated to occur as a part of rule implementation, the Lake Rotorua Incentives Scheme, sector best practice and engineering solutions.</w:t>
      </w:r>
    </w:p>
    <w:p w14:paraId="007052FB" w14:textId="77777777" w:rsidR="003E0DC3" w:rsidRPr="000D1385" w:rsidRDefault="003E0DC3" w:rsidP="00147F96">
      <w:pPr>
        <w:pStyle w:val="ListParagraph"/>
        <w:numPr>
          <w:ilvl w:val="0"/>
          <w:numId w:val="4"/>
        </w:numPr>
        <w:spacing w:after="120" w:line="276" w:lineRule="auto"/>
        <w:rPr>
          <w:lang w:val="en-NZ"/>
        </w:rPr>
      </w:pPr>
      <w:r w:rsidRPr="000D1385">
        <w:rPr>
          <w:lang w:val="en-NZ"/>
        </w:rPr>
        <w:t>Council will monitor nitrogen and phosphorus reductions against sustainable lake load targets</w:t>
      </w:r>
    </w:p>
    <w:p w14:paraId="702C0920" w14:textId="38A68619" w:rsidR="003E0DC3" w:rsidRPr="000D1385" w:rsidRDefault="00D81D74" w:rsidP="003E0DC3">
      <w:pPr>
        <w:spacing w:before="240" w:after="60" w:line="264" w:lineRule="auto"/>
        <w:rPr>
          <w:rFonts w:asciiTheme="minorHAnsi" w:hAnsiTheme="minorHAnsi" w:cs="Calibri"/>
          <w:lang w:val="en-NZ"/>
        </w:rPr>
      </w:pPr>
      <w:r>
        <w:rPr>
          <w:rFonts w:asciiTheme="minorHAnsi" w:hAnsiTheme="minorHAnsi" w:cs="Calibri"/>
          <w:b/>
          <w:sz w:val="28"/>
          <w:szCs w:val="28"/>
          <w:lang w:val="en-NZ"/>
        </w:rPr>
        <w:t>Review</w:t>
      </w:r>
      <w:r w:rsidRPr="000D1385">
        <w:rPr>
          <w:rFonts w:asciiTheme="minorHAnsi" w:hAnsiTheme="minorHAnsi" w:cs="Calibri"/>
          <w:b/>
          <w:sz w:val="28"/>
          <w:szCs w:val="28"/>
          <w:lang w:val="en-NZ"/>
        </w:rPr>
        <w:t xml:space="preserve"> </w:t>
      </w:r>
      <w:r w:rsidR="003E0DC3" w:rsidRPr="000D1385">
        <w:rPr>
          <w:rFonts w:asciiTheme="minorHAnsi" w:hAnsiTheme="minorHAnsi" w:cs="Calibri"/>
          <w:b/>
          <w:sz w:val="28"/>
          <w:szCs w:val="28"/>
          <w:lang w:val="en-NZ"/>
        </w:rPr>
        <w:t xml:space="preserve">scope </w:t>
      </w:r>
    </w:p>
    <w:p w14:paraId="6466F554" w14:textId="4530E755" w:rsidR="003E0DC3" w:rsidRPr="000D1385" w:rsidRDefault="003E0DC3" w:rsidP="003E0DC3">
      <w:pPr>
        <w:spacing w:before="60" w:after="60"/>
        <w:rPr>
          <w:rFonts w:asciiTheme="minorHAnsi" w:hAnsiTheme="minorHAnsi"/>
          <w:lang w:val="en-NZ"/>
        </w:rPr>
      </w:pPr>
      <w:r w:rsidRPr="000D1385">
        <w:rPr>
          <w:rFonts w:asciiTheme="minorHAnsi" w:hAnsiTheme="minorHAnsi"/>
          <w:lang w:val="en-NZ"/>
        </w:rPr>
        <w:t>To support Council’s position</w:t>
      </w:r>
      <w:r w:rsidR="00D81D74">
        <w:rPr>
          <w:rFonts w:asciiTheme="minorHAnsi" w:hAnsiTheme="minorHAnsi"/>
          <w:lang w:val="en-NZ"/>
        </w:rPr>
        <w:t>,</w:t>
      </w:r>
      <w:r w:rsidRPr="000D1385">
        <w:rPr>
          <w:rFonts w:asciiTheme="minorHAnsi" w:hAnsiTheme="minorHAnsi"/>
          <w:lang w:val="en-NZ"/>
        </w:rPr>
        <w:t xml:space="preserve"> analysis is required to establish a broad picture of the likely or potential phosphorus reduction from the various aspects of the </w:t>
      </w:r>
      <w:r w:rsidR="00D81D74">
        <w:rPr>
          <w:rFonts w:asciiTheme="minorHAnsi" w:hAnsiTheme="minorHAnsi"/>
          <w:lang w:val="en-NZ"/>
        </w:rPr>
        <w:t xml:space="preserve">lakes </w:t>
      </w:r>
      <w:r w:rsidRPr="000D1385">
        <w:rPr>
          <w:rFonts w:asciiTheme="minorHAnsi" w:hAnsiTheme="minorHAnsi"/>
          <w:lang w:val="en-NZ"/>
        </w:rPr>
        <w:t>programme.</w:t>
      </w:r>
    </w:p>
    <w:p w14:paraId="5CDE81B0" w14:textId="77777777" w:rsidR="003E0DC3" w:rsidRPr="000D1385" w:rsidRDefault="003E0DC3" w:rsidP="003E0DC3">
      <w:pPr>
        <w:spacing w:before="60" w:after="60"/>
        <w:rPr>
          <w:rFonts w:asciiTheme="minorHAnsi" w:hAnsiTheme="minorHAnsi"/>
          <w:lang w:val="en-NZ"/>
        </w:rPr>
      </w:pPr>
      <w:r w:rsidRPr="000D1385">
        <w:rPr>
          <w:rFonts w:asciiTheme="minorHAnsi" w:hAnsiTheme="minorHAnsi"/>
          <w:lang w:val="en-NZ"/>
        </w:rPr>
        <w:t>Areas identified for possible analysis are:</w:t>
      </w:r>
    </w:p>
    <w:p w14:paraId="5F222589" w14:textId="77777777" w:rsidR="003E0DC3" w:rsidRPr="000D1385" w:rsidRDefault="003E0DC3" w:rsidP="00C66C2C">
      <w:pPr>
        <w:numPr>
          <w:ilvl w:val="0"/>
          <w:numId w:val="5"/>
        </w:numPr>
        <w:spacing w:before="60" w:after="60"/>
        <w:rPr>
          <w:rFonts w:asciiTheme="minorHAnsi" w:hAnsiTheme="minorHAnsi"/>
          <w:lang w:val="en-NZ"/>
        </w:rPr>
      </w:pPr>
      <w:r w:rsidRPr="000D1385">
        <w:rPr>
          <w:rFonts w:asciiTheme="minorHAnsi" w:hAnsiTheme="minorHAnsi"/>
          <w:b/>
          <w:lang w:val="en-NZ"/>
        </w:rPr>
        <w:t>Sector promoted best practice</w:t>
      </w:r>
      <w:r w:rsidRPr="000D1385">
        <w:rPr>
          <w:rFonts w:asciiTheme="minorHAnsi" w:hAnsiTheme="minorHAnsi"/>
          <w:lang w:val="en-NZ"/>
        </w:rPr>
        <w:t>: If sectors are serious about implementing phosphorus reduction – irrespective of any regulatory framework – what may be expected over the short/medium term</w:t>
      </w:r>
    </w:p>
    <w:p w14:paraId="3C06E87D" w14:textId="13D7500C" w:rsidR="003E0DC3" w:rsidRPr="000D1385" w:rsidRDefault="003E0DC3" w:rsidP="00C66C2C">
      <w:pPr>
        <w:numPr>
          <w:ilvl w:val="0"/>
          <w:numId w:val="5"/>
        </w:numPr>
        <w:spacing w:before="60" w:after="60"/>
        <w:rPr>
          <w:rFonts w:asciiTheme="minorHAnsi" w:hAnsiTheme="minorHAnsi"/>
          <w:lang w:val="en-NZ"/>
        </w:rPr>
      </w:pPr>
      <w:r w:rsidRPr="000D1385">
        <w:rPr>
          <w:rFonts w:asciiTheme="minorHAnsi" w:hAnsiTheme="minorHAnsi"/>
          <w:b/>
          <w:lang w:val="en-NZ"/>
        </w:rPr>
        <w:t>Implementation of PC10</w:t>
      </w:r>
      <w:r w:rsidRPr="000D1385">
        <w:rPr>
          <w:rFonts w:asciiTheme="minorHAnsi" w:hAnsiTheme="minorHAnsi"/>
          <w:lang w:val="en-NZ"/>
        </w:rPr>
        <w:t xml:space="preserve">: What mitigation actions are commonly appearing in NMPs and can be extrapolated across the catchment. For example, reduction in ha of fodder crops, increase in effluent discharge areas, and subdivision. This will require a generic understanding of what is occurring in the NMP process and what land practises or land use change has or will occur from time of benchmarking, the 2017 start point and the 2032 target. </w:t>
      </w:r>
    </w:p>
    <w:p w14:paraId="7011D694" w14:textId="77777777" w:rsidR="003E0DC3" w:rsidRPr="000D1385" w:rsidRDefault="003E0DC3" w:rsidP="00C66C2C">
      <w:pPr>
        <w:numPr>
          <w:ilvl w:val="0"/>
          <w:numId w:val="5"/>
        </w:numPr>
        <w:spacing w:before="60" w:after="60"/>
        <w:rPr>
          <w:rFonts w:asciiTheme="minorHAnsi" w:hAnsiTheme="minorHAnsi"/>
          <w:lang w:val="en-NZ"/>
        </w:rPr>
      </w:pPr>
      <w:r w:rsidRPr="000D1385">
        <w:rPr>
          <w:rFonts w:asciiTheme="minorHAnsi" w:hAnsiTheme="minorHAnsi"/>
          <w:b/>
          <w:lang w:val="en-NZ"/>
        </w:rPr>
        <w:t xml:space="preserve">Lake Rotorua Incentives </w:t>
      </w:r>
      <w:r w:rsidR="00875240">
        <w:rPr>
          <w:rFonts w:asciiTheme="minorHAnsi" w:hAnsiTheme="minorHAnsi"/>
          <w:b/>
          <w:lang w:val="en-NZ"/>
        </w:rPr>
        <w:t>scheme</w:t>
      </w:r>
      <w:r w:rsidRPr="000D1385">
        <w:rPr>
          <w:rFonts w:asciiTheme="minorHAnsi" w:hAnsiTheme="minorHAnsi"/>
          <w:b/>
          <w:lang w:val="en-NZ"/>
        </w:rPr>
        <w:t xml:space="preserve"> land use change</w:t>
      </w:r>
      <w:r w:rsidRPr="000D1385">
        <w:rPr>
          <w:rFonts w:asciiTheme="minorHAnsi" w:hAnsiTheme="minorHAnsi"/>
          <w:lang w:val="en-NZ"/>
        </w:rPr>
        <w:t xml:space="preserve">: On the basis of assumed land use change to forestry phosphorus reductions will occur, agreements are specifying no increase in phosphorus. Identification of the area </w:t>
      </w:r>
      <w:r w:rsidR="00DF7CD9">
        <w:rPr>
          <w:rFonts w:asciiTheme="minorHAnsi" w:hAnsiTheme="minorHAnsi"/>
          <w:lang w:val="en-NZ"/>
        </w:rPr>
        <w:t xml:space="preserve">of </w:t>
      </w:r>
      <w:r w:rsidRPr="000D1385">
        <w:rPr>
          <w:rFonts w:asciiTheme="minorHAnsi" w:hAnsiTheme="minorHAnsi"/>
          <w:lang w:val="en-NZ"/>
        </w:rPr>
        <w:t>land required to be converted to achieve the 100t/N reduction</w:t>
      </w:r>
      <w:r w:rsidR="00DF7CD9">
        <w:rPr>
          <w:rFonts w:asciiTheme="minorHAnsi" w:hAnsiTheme="minorHAnsi"/>
          <w:lang w:val="en-NZ"/>
        </w:rPr>
        <w:t xml:space="preserve"> needs to be identified</w:t>
      </w:r>
      <w:r w:rsidRPr="000D1385">
        <w:rPr>
          <w:rFonts w:asciiTheme="minorHAnsi" w:hAnsiTheme="minorHAnsi"/>
          <w:lang w:val="en-NZ"/>
        </w:rPr>
        <w:t xml:space="preserve">, and what flow on effect may this have to phosphorus. Scenarios should include conversion to forestry and subdivision. </w:t>
      </w:r>
    </w:p>
    <w:p w14:paraId="7761DD6E" w14:textId="77777777" w:rsidR="003E0DC3" w:rsidRPr="000D1385" w:rsidRDefault="003E0DC3" w:rsidP="00C66C2C">
      <w:pPr>
        <w:numPr>
          <w:ilvl w:val="0"/>
          <w:numId w:val="5"/>
        </w:numPr>
        <w:spacing w:before="60" w:after="60"/>
        <w:rPr>
          <w:rFonts w:asciiTheme="minorHAnsi" w:hAnsiTheme="minorHAnsi"/>
          <w:lang w:val="en-NZ"/>
        </w:rPr>
      </w:pPr>
      <w:r w:rsidRPr="000D1385">
        <w:rPr>
          <w:rFonts w:asciiTheme="minorHAnsi" w:hAnsiTheme="minorHAnsi"/>
          <w:b/>
          <w:lang w:val="en-NZ"/>
        </w:rPr>
        <w:t>An overview of the specific actions completed and to be completed by the Te Arawa Lakes Programme.</w:t>
      </w:r>
      <w:r w:rsidRPr="000D1385">
        <w:rPr>
          <w:rFonts w:asciiTheme="minorHAnsi" w:hAnsiTheme="minorHAnsi"/>
          <w:lang w:val="en-NZ"/>
        </w:rPr>
        <w:t xml:space="preserve"> Identification of how these contribute to a reduction in phosphorus losses. detainment bunds are an example of this. The new WWTP and future urban runoff actions may be useful to consider.</w:t>
      </w:r>
    </w:p>
    <w:p w14:paraId="0078B3EF" w14:textId="4F5202F5" w:rsidR="00AB5114" w:rsidRPr="000D1385" w:rsidRDefault="00AB5114" w:rsidP="00FF15CA">
      <w:pPr>
        <w:spacing w:before="60" w:after="60"/>
        <w:rPr>
          <w:rFonts w:asciiTheme="minorHAnsi" w:hAnsiTheme="minorHAnsi"/>
          <w:lang w:val="en-NZ"/>
        </w:rPr>
      </w:pPr>
      <w:r w:rsidRPr="000D1385">
        <w:rPr>
          <w:rFonts w:asciiTheme="minorHAnsi" w:hAnsiTheme="minorHAnsi"/>
          <w:lang w:val="en-NZ"/>
        </w:rPr>
        <w:t>This</w:t>
      </w:r>
      <w:r w:rsidR="00217D67" w:rsidRPr="000D1385">
        <w:rPr>
          <w:rFonts w:asciiTheme="minorHAnsi" w:hAnsiTheme="minorHAnsi"/>
          <w:lang w:val="en-NZ"/>
        </w:rPr>
        <w:t xml:space="preserve"> </w:t>
      </w:r>
      <w:r w:rsidR="0035664E">
        <w:rPr>
          <w:rFonts w:asciiTheme="minorHAnsi" w:hAnsiTheme="minorHAnsi"/>
          <w:lang w:val="en-NZ"/>
        </w:rPr>
        <w:t>review</w:t>
      </w:r>
      <w:r w:rsidR="0035664E" w:rsidRPr="000D1385">
        <w:rPr>
          <w:rFonts w:asciiTheme="minorHAnsi" w:hAnsiTheme="minorHAnsi"/>
          <w:lang w:val="en-NZ"/>
        </w:rPr>
        <w:t xml:space="preserve"> </w:t>
      </w:r>
      <w:r w:rsidR="003E0DC3" w:rsidRPr="000D1385">
        <w:rPr>
          <w:rFonts w:asciiTheme="minorHAnsi" w:hAnsiTheme="minorHAnsi"/>
          <w:lang w:val="en-NZ"/>
        </w:rPr>
        <w:t>is a preliminary assessment of each of these four areas</w:t>
      </w:r>
      <w:r w:rsidR="00385CE6" w:rsidRPr="000D1385">
        <w:rPr>
          <w:rFonts w:asciiTheme="minorHAnsi" w:hAnsiTheme="minorHAnsi"/>
          <w:lang w:val="en-NZ"/>
        </w:rPr>
        <w:t xml:space="preserve"> of P loss and </w:t>
      </w:r>
      <w:r w:rsidR="00FF5A6D" w:rsidRPr="000D1385">
        <w:rPr>
          <w:rFonts w:asciiTheme="minorHAnsi" w:hAnsiTheme="minorHAnsi"/>
          <w:lang w:val="en-NZ"/>
        </w:rPr>
        <w:t xml:space="preserve">potential </w:t>
      </w:r>
      <w:r w:rsidR="00385CE6" w:rsidRPr="000D1385">
        <w:rPr>
          <w:rFonts w:asciiTheme="minorHAnsi" w:hAnsiTheme="minorHAnsi"/>
          <w:lang w:val="en-NZ"/>
        </w:rPr>
        <w:t xml:space="preserve">reductions in P loss, and/or what further work may be needed to refine those figures. </w:t>
      </w:r>
    </w:p>
    <w:p w14:paraId="319B8BC0" w14:textId="5A16F5F5" w:rsidR="0038447D" w:rsidRPr="000D1385" w:rsidRDefault="00385CE6" w:rsidP="00C66C2C">
      <w:pPr>
        <w:numPr>
          <w:ilvl w:val="0"/>
          <w:numId w:val="3"/>
        </w:numPr>
        <w:spacing w:before="240" w:after="60" w:line="264" w:lineRule="auto"/>
        <w:rPr>
          <w:rFonts w:asciiTheme="minorHAnsi" w:hAnsiTheme="minorHAnsi" w:cs="Calibri"/>
          <w:b/>
          <w:sz w:val="28"/>
          <w:szCs w:val="28"/>
          <w:lang w:val="en-NZ"/>
        </w:rPr>
      </w:pPr>
      <w:r w:rsidRPr="000D1385">
        <w:rPr>
          <w:rFonts w:asciiTheme="minorHAnsi" w:hAnsiTheme="minorHAnsi" w:cs="Calibri"/>
          <w:b/>
          <w:sz w:val="28"/>
          <w:szCs w:val="28"/>
          <w:lang w:val="en-NZ"/>
        </w:rPr>
        <w:lastRenderedPageBreak/>
        <w:t xml:space="preserve">Sector promoted </w:t>
      </w:r>
      <w:r w:rsidR="006250CE">
        <w:rPr>
          <w:rFonts w:asciiTheme="minorHAnsi" w:hAnsiTheme="minorHAnsi" w:cs="Calibri"/>
          <w:b/>
          <w:sz w:val="28"/>
          <w:szCs w:val="28"/>
          <w:lang w:val="en-NZ"/>
        </w:rPr>
        <w:t>good</w:t>
      </w:r>
      <w:r w:rsidRPr="000D1385">
        <w:rPr>
          <w:rFonts w:asciiTheme="minorHAnsi" w:hAnsiTheme="minorHAnsi" w:cs="Calibri"/>
          <w:b/>
          <w:sz w:val="28"/>
          <w:szCs w:val="28"/>
          <w:lang w:val="en-NZ"/>
        </w:rPr>
        <w:t xml:space="preserve"> practice</w:t>
      </w:r>
    </w:p>
    <w:p w14:paraId="374D19DF" w14:textId="77777777" w:rsidR="00521F05" w:rsidRPr="00521F05" w:rsidRDefault="006250CE" w:rsidP="00521F05">
      <w:pPr>
        <w:numPr>
          <w:ilvl w:val="1"/>
          <w:numId w:val="3"/>
        </w:numPr>
        <w:spacing w:before="240" w:after="60" w:line="264" w:lineRule="auto"/>
        <w:rPr>
          <w:rFonts w:asciiTheme="minorHAnsi" w:hAnsiTheme="minorHAnsi" w:cs="Calibri"/>
          <w:b/>
          <w:sz w:val="24"/>
          <w:szCs w:val="24"/>
          <w:lang w:val="en-NZ"/>
        </w:rPr>
      </w:pPr>
      <w:r w:rsidRPr="00521F05">
        <w:rPr>
          <w:rFonts w:asciiTheme="minorHAnsi" w:hAnsiTheme="minorHAnsi" w:cs="Calibri"/>
          <w:b/>
          <w:sz w:val="24"/>
          <w:szCs w:val="24"/>
          <w:lang w:val="en-NZ"/>
        </w:rPr>
        <w:t xml:space="preserve">Industry guidance </w:t>
      </w:r>
      <w:r w:rsidR="00521F05" w:rsidRPr="00521F05">
        <w:rPr>
          <w:rFonts w:asciiTheme="minorHAnsi" w:hAnsiTheme="minorHAnsi" w:cs="Calibri"/>
          <w:b/>
          <w:sz w:val="24"/>
          <w:szCs w:val="24"/>
          <w:lang w:val="en-NZ"/>
        </w:rPr>
        <w:t>overview</w:t>
      </w:r>
    </w:p>
    <w:p w14:paraId="23E64C2E" w14:textId="5D45CBAD" w:rsidR="009E7D01" w:rsidRPr="000D1385" w:rsidRDefault="009E7D01" w:rsidP="00385CE6">
      <w:pPr>
        <w:spacing w:before="60" w:after="60"/>
        <w:rPr>
          <w:rFonts w:asciiTheme="minorHAnsi" w:hAnsiTheme="minorHAnsi"/>
          <w:lang w:val="en-NZ"/>
        </w:rPr>
      </w:pPr>
      <w:r w:rsidRPr="000D1385">
        <w:rPr>
          <w:rFonts w:asciiTheme="minorHAnsi" w:hAnsiTheme="minorHAnsi"/>
          <w:lang w:val="en-NZ"/>
        </w:rPr>
        <w:t xml:space="preserve">Both the dairy and drystock sectors encourage their farmers to adopt industry-defined best practice, notably through their respective farm plan templates. Similarly, the forestry sector has well established Environmental Management Systems. Dairy effluent and forestry harvesting have long been managed through resource consents with conditions requiring practices </w:t>
      </w:r>
      <w:r w:rsidR="00BA7DB6">
        <w:rPr>
          <w:rFonts w:asciiTheme="minorHAnsi" w:hAnsiTheme="minorHAnsi"/>
          <w:lang w:val="en-NZ"/>
        </w:rPr>
        <w:t>to</w:t>
      </w:r>
      <w:r w:rsidRPr="000D1385">
        <w:rPr>
          <w:rFonts w:asciiTheme="minorHAnsi" w:hAnsiTheme="minorHAnsi"/>
          <w:lang w:val="en-NZ"/>
        </w:rPr>
        <w:t xml:space="preserve"> reduce nutrient loss, including P loss. </w:t>
      </w:r>
    </w:p>
    <w:p w14:paraId="55053981" w14:textId="77777777" w:rsidR="009E7D01" w:rsidRPr="000D1385" w:rsidRDefault="009E7D01" w:rsidP="00385CE6">
      <w:pPr>
        <w:spacing w:before="60" w:after="60"/>
        <w:rPr>
          <w:rFonts w:asciiTheme="minorHAnsi" w:hAnsiTheme="minorHAnsi"/>
          <w:lang w:val="en-NZ"/>
        </w:rPr>
      </w:pPr>
      <w:r w:rsidRPr="000D1385">
        <w:rPr>
          <w:rFonts w:asciiTheme="minorHAnsi" w:hAnsiTheme="minorHAnsi"/>
          <w:lang w:val="en-NZ"/>
        </w:rPr>
        <w:t>It will be difficult to determine what difference sector promoted good practice makes because:</w:t>
      </w:r>
    </w:p>
    <w:p w14:paraId="447BFDED" w14:textId="741D373F" w:rsidR="009E7D01" w:rsidRPr="000D1385" w:rsidRDefault="009E7D01" w:rsidP="00C66C2C">
      <w:pPr>
        <w:numPr>
          <w:ilvl w:val="0"/>
          <w:numId w:val="6"/>
        </w:numPr>
        <w:spacing w:before="60" w:after="60"/>
        <w:rPr>
          <w:rFonts w:asciiTheme="minorHAnsi" w:hAnsiTheme="minorHAnsi"/>
          <w:lang w:val="en-NZ"/>
        </w:rPr>
      </w:pPr>
      <w:r w:rsidRPr="000D1385">
        <w:rPr>
          <w:rFonts w:asciiTheme="minorHAnsi" w:hAnsiTheme="minorHAnsi"/>
          <w:lang w:val="en-NZ"/>
        </w:rPr>
        <w:t>If good practices are already routinely followed, then there is little room for improvement</w:t>
      </w:r>
    </w:p>
    <w:p w14:paraId="63C954CC" w14:textId="55F36BB8" w:rsidR="00A86507" w:rsidRPr="000D1385" w:rsidRDefault="009E7D01" w:rsidP="00C66C2C">
      <w:pPr>
        <w:numPr>
          <w:ilvl w:val="0"/>
          <w:numId w:val="6"/>
        </w:numPr>
        <w:spacing w:before="60" w:after="60"/>
        <w:rPr>
          <w:rFonts w:asciiTheme="minorHAnsi" w:hAnsiTheme="minorHAnsi"/>
          <w:lang w:val="en-NZ"/>
        </w:rPr>
      </w:pPr>
      <w:r w:rsidRPr="000D1385">
        <w:rPr>
          <w:rFonts w:asciiTheme="minorHAnsi" w:hAnsiTheme="minorHAnsi"/>
          <w:lang w:val="en-NZ"/>
        </w:rPr>
        <w:t xml:space="preserve">Comparing pastoral sector ‘best practice’ with OVERSEER derived P loss rates is problematic due to OVERSEER’s </w:t>
      </w:r>
      <w:r w:rsidR="00A86507" w:rsidRPr="000D1385">
        <w:rPr>
          <w:rFonts w:asciiTheme="minorHAnsi" w:hAnsiTheme="minorHAnsi"/>
          <w:u w:val="single"/>
          <w:lang w:val="en-NZ"/>
        </w:rPr>
        <w:t>general</w:t>
      </w:r>
      <w:r w:rsidR="00A86507" w:rsidRPr="000D1385">
        <w:rPr>
          <w:rFonts w:asciiTheme="minorHAnsi" w:hAnsiTheme="minorHAnsi"/>
          <w:lang w:val="en-NZ"/>
        </w:rPr>
        <w:t xml:space="preserve"> </w:t>
      </w:r>
      <w:r w:rsidRPr="000D1385">
        <w:rPr>
          <w:rFonts w:asciiTheme="minorHAnsi" w:hAnsiTheme="minorHAnsi"/>
          <w:lang w:val="en-NZ"/>
        </w:rPr>
        <w:t xml:space="preserve">presumption that </w:t>
      </w:r>
      <w:r w:rsidR="00A86507" w:rsidRPr="000D1385">
        <w:rPr>
          <w:rFonts w:asciiTheme="minorHAnsi" w:hAnsiTheme="minorHAnsi"/>
          <w:lang w:val="en-NZ"/>
        </w:rPr>
        <w:t>‘good management practices’ are followed. OVERSEER can model some poor practice and therefore estimate what improvement is possible by adopting good practice. A pertinent example is ensuring Olsen P levels do not exceed the agronomic optimum.</w:t>
      </w:r>
    </w:p>
    <w:p w14:paraId="3DC6FEEF" w14:textId="18485A81" w:rsidR="00385CE6" w:rsidRPr="000D1385" w:rsidRDefault="00A86507" w:rsidP="00C66C2C">
      <w:pPr>
        <w:numPr>
          <w:ilvl w:val="0"/>
          <w:numId w:val="6"/>
        </w:numPr>
        <w:spacing w:before="60" w:after="60"/>
        <w:rPr>
          <w:rFonts w:asciiTheme="minorHAnsi" w:hAnsiTheme="minorHAnsi"/>
          <w:lang w:val="en-NZ"/>
        </w:rPr>
      </w:pPr>
      <w:r w:rsidRPr="000D1385">
        <w:rPr>
          <w:rFonts w:asciiTheme="minorHAnsi" w:hAnsiTheme="minorHAnsi"/>
          <w:lang w:val="en-NZ"/>
        </w:rPr>
        <w:t xml:space="preserve">The forestry sector’s highly episodic harvesting cycle (and the associated high-risk period for sediment and P loss) makes it inherently difficult to measure or model good or poor practice. </w:t>
      </w:r>
    </w:p>
    <w:p w14:paraId="162EF516" w14:textId="0B15B0DD" w:rsidR="00672A74" w:rsidRPr="000D1385" w:rsidRDefault="00672A74" w:rsidP="00DC1D45">
      <w:pPr>
        <w:spacing w:before="60" w:after="60"/>
        <w:rPr>
          <w:rFonts w:asciiTheme="minorHAnsi" w:hAnsiTheme="minorHAnsi"/>
          <w:lang w:val="en-NZ"/>
        </w:rPr>
      </w:pPr>
      <w:r w:rsidRPr="000D1385">
        <w:rPr>
          <w:rFonts w:asciiTheme="minorHAnsi" w:hAnsiTheme="minorHAnsi"/>
          <w:lang w:val="en-NZ"/>
        </w:rPr>
        <w:t xml:space="preserve">A broad range of P mitigation practices was </w:t>
      </w:r>
      <w:hyperlink r:id="rId10" w:history="1">
        <w:r w:rsidRPr="000D1385">
          <w:rPr>
            <w:rStyle w:val="Hyperlink"/>
            <w:rFonts w:asciiTheme="minorHAnsi" w:hAnsiTheme="minorHAnsi"/>
            <w:lang w:val="en-NZ"/>
          </w:rPr>
          <w:t>presented</w:t>
        </w:r>
      </w:hyperlink>
      <w:r w:rsidRPr="000D1385">
        <w:rPr>
          <w:rFonts w:asciiTheme="minorHAnsi" w:hAnsiTheme="minorHAnsi"/>
          <w:lang w:val="en-NZ"/>
        </w:rPr>
        <w:t xml:space="preserve"> to Land TAG in May 2016 by Dr Dave Houlbrooke on behalf of his AgResearch colleagues. A key graphic identified the relative proportions of the four main P loss sources as follows: fertiliser </w:t>
      </w:r>
      <w:r w:rsidR="00B57DFE" w:rsidRPr="000D1385">
        <w:rPr>
          <w:rFonts w:asciiTheme="minorHAnsi" w:hAnsiTheme="minorHAnsi"/>
          <w:lang w:val="en-NZ"/>
        </w:rPr>
        <w:t xml:space="preserve">10%; </w:t>
      </w:r>
      <w:r w:rsidRPr="000D1385">
        <w:rPr>
          <w:rFonts w:asciiTheme="minorHAnsi" w:hAnsiTheme="minorHAnsi"/>
          <w:lang w:val="en-NZ"/>
        </w:rPr>
        <w:t xml:space="preserve">dung </w:t>
      </w:r>
      <w:r w:rsidR="00B57DFE" w:rsidRPr="000D1385">
        <w:rPr>
          <w:rFonts w:asciiTheme="minorHAnsi" w:hAnsiTheme="minorHAnsi"/>
          <w:lang w:val="en-NZ"/>
        </w:rPr>
        <w:t xml:space="preserve">30%; </w:t>
      </w:r>
      <w:r w:rsidRPr="000D1385">
        <w:rPr>
          <w:rFonts w:asciiTheme="minorHAnsi" w:hAnsiTheme="minorHAnsi"/>
          <w:lang w:val="en-NZ"/>
        </w:rPr>
        <w:t xml:space="preserve">plant </w:t>
      </w:r>
      <w:r w:rsidR="00B57DFE" w:rsidRPr="000D1385">
        <w:rPr>
          <w:rFonts w:asciiTheme="minorHAnsi" w:hAnsiTheme="minorHAnsi"/>
          <w:lang w:val="en-NZ"/>
        </w:rPr>
        <w:t xml:space="preserve">20%; </w:t>
      </w:r>
      <w:r w:rsidRPr="000D1385">
        <w:rPr>
          <w:rFonts w:asciiTheme="minorHAnsi" w:hAnsiTheme="minorHAnsi"/>
          <w:lang w:val="en-NZ"/>
        </w:rPr>
        <w:t>soil 40%</w:t>
      </w:r>
      <w:r w:rsidR="00B57DFE" w:rsidRPr="000D1385">
        <w:rPr>
          <w:rFonts w:asciiTheme="minorHAnsi" w:hAnsiTheme="minorHAnsi"/>
          <w:lang w:val="en-NZ"/>
        </w:rPr>
        <w:t xml:space="preserve">. A series of mitigations was also identified </w:t>
      </w:r>
      <w:r w:rsidR="00084BBB" w:rsidRPr="000D1385">
        <w:rPr>
          <w:rFonts w:asciiTheme="minorHAnsi" w:hAnsiTheme="minorHAnsi"/>
          <w:lang w:val="en-NZ"/>
        </w:rPr>
        <w:t xml:space="preserve">by AgResearch </w:t>
      </w:r>
      <w:r w:rsidR="00B57DFE" w:rsidRPr="000D1385">
        <w:rPr>
          <w:rFonts w:asciiTheme="minorHAnsi" w:hAnsiTheme="minorHAnsi"/>
          <w:lang w:val="en-NZ"/>
        </w:rPr>
        <w:t>with qualitative costs and effectiveness indicated for each practice. Many of these practices are incorporated</w:t>
      </w:r>
      <w:r w:rsidR="002D1899" w:rsidRPr="000D1385">
        <w:rPr>
          <w:rStyle w:val="FootnoteReference"/>
          <w:rFonts w:asciiTheme="minorHAnsi" w:hAnsiTheme="minorHAnsi"/>
          <w:lang w:val="en-NZ"/>
        </w:rPr>
        <w:footnoteReference w:id="2"/>
      </w:r>
      <w:r w:rsidR="00B57DFE" w:rsidRPr="000D1385">
        <w:rPr>
          <w:rFonts w:asciiTheme="minorHAnsi" w:hAnsiTheme="minorHAnsi"/>
          <w:lang w:val="en-NZ"/>
        </w:rPr>
        <w:t xml:space="preserve"> into ‘sector promoted best practice’ systems (guidance, farm plan templates etc), </w:t>
      </w:r>
      <w:r w:rsidR="000526C2" w:rsidRPr="000D1385">
        <w:rPr>
          <w:rFonts w:asciiTheme="minorHAnsi" w:hAnsiTheme="minorHAnsi"/>
          <w:lang w:val="en-NZ"/>
        </w:rPr>
        <w:t xml:space="preserve">which are </w:t>
      </w:r>
      <w:r w:rsidR="00B57DFE" w:rsidRPr="000D1385">
        <w:rPr>
          <w:rFonts w:asciiTheme="minorHAnsi" w:hAnsiTheme="minorHAnsi"/>
          <w:lang w:val="en-NZ"/>
        </w:rPr>
        <w:t xml:space="preserve">illustrated </w:t>
      </w:r>
      <w:r w:rsidR="000526C2" w:rsidRPr="000D1385">
        <w:rPr>
          <w:rFonts w:asciiTheme="minorHAnsi" w:hAnsiTheme="minorHAnsi"/>
          <w:lang w:val="en-NZ"/>
        </w:rPr>
        <w:t>as a sample</w:t>
      </w:r>
      <w:r w:rsidR="000526C2" w:rsidRPr="000D1385">
        <w:rPr>
          <w:rStyle w:val="FootnoteReference"/>
          <w:rFonts w:asciiTheme="minorHAnsi" w:hAnsiTheme="minorHAnsi"/>
          <w:lang w:val="en-NZ"/>
        </w:rPr>
        <w:footnoteReference w:id="3"/>
      </w:r>
      <w:r w:rsidR="000526C2" w:rsidRPr="000D1385">
        <w:rPr>
          <w:rFonts w:asciiTheme="minorHAnsi" w:hAnsiTheme="minorHAnsi"/>
          <w:lang w:val="en-NZ"/>
        </w:rPr>
        <w:t xml:space="preserve"> </w:t>
      </w:r>
      <w:r w:rsidR="00B57DFE" w:rsidRPr="000D1385">
        <w:rPr>
          <w:rFonts w:asciiTheme="minorHAnsi" w:hAnsiTheme="minorHAnsi"/>
          <w:lang w:val="en-NZ"/>
        </w:rPr>
        <w:t>in Table 1 below.</w:t>
      </w:r>
      <w:r w:rsidR="00C75D5D" w:rsidRPr="000D1385">
        <w:rPr>
          <w:rFonts w:asciiTheme="minorHAnsi" w:hAnsiTheme="minorHAnsi"/>
          <w:lang w:val="en-NZ"/>
        </w:rPr>
        <w:t xml:space="preserve"> </w:t>
      </w:r>
    </w:p>
    <w:p w14:paraId="227D13CD" w14:textId="77777777" w:rsidR="00B57DFE" w:rsidRPr="000D1385" w:rsidRDefault="00B57DFE" w:rsidP="002D1899">
      <w:pPr>
        <w:keepNext/>
        <w:spacing w:before="60" w:after="60"/>
        <w:rPr>
          <w:rFonts w:asciiTheme="minorHAnsi" w:hAnsiTheme="minorHAnsi"/>
          <w:b/>
          <w:lang w:val="en-NZ"/>
        </w:rPr>
      </w:pPr>
      <w:r w:rsidRPr="000D1385">
        <w:rPr>
          <w:rFonts w:asciiTheme="minorHAnsi" w:hAnsiTheme="minorHAnsi"/>
          <w:b/>
          <w:lang w:val="en-NZ"/>
        </w:rPr>
        <w:t xml:space="preserve">Table 1: </w:t>
      </w:r>
      <w:r w:rsidR="000526C2" w:rsidRPr="000D1385">
        <w:rPr>
          <w:rFonts w:asciiTheme="minorHAnsi" w:hAnsiTheme="minorHAnsi"/>
          <w:b/>
          <w:lang w:val="en-NZ"/>
        </w:rPr>
        <w:t xml:space="preserve">Sample of </w:t>
      </w:r>
      <w:r w:rsidRPr="000D1385">
        <w:rPr>
          <w:rFonts w:asciiTheme="minorHAnsi" w:hAnsiTheme="minorHAnsi"/>
          <w:b/>
          <w:lang w:val="en-NZ"/>
        </w:rPr>
        <w:t xml:space="preserve">industry good </w:t>
      </w:r>
      <w:r w:rsidR="00C75D5D" w:rsidRPr="000D1385">
        <w:rPr>
          <w:rFonts w:asciiTheme="minorHAnsi" w:hAnsiTheme="minorHAnsi"/>
          <w:b/>
          <w:lang w:val="en-NZ"/>
        </w:rPr>
        <w:t xml:space="preserve">phosphorus </w:t>
      </w:r>
      <w:r w:rsidRPr="000D1385">
        <w:rPr>
          <w:rFonts w:asciiTheme="minorHAnsi" w:hAnsiTheme="minorHAnsi"/>
          <w:b/>
          <w:lang w:val="en-NZ"/>
        </w:rPr>
        <w:t>practice</w:t>
      </w:r>
      <w:r w:rsidR="000526C2" w:rsidRPr="000D1385">
        <w:rPr>
          <w:rFonts w:asciiTheme="minorHAnsi" w:hAnsiTheme="minorHAnsi"/>
          <w:b/>
          <w:lang w:val="en-NZ"/>
        </w:rPr>
        <w:t>s</w:t>
      </w:r>
    </w:p>
    <w:tbl>
      <w:tblPr>
        <w:tblStyle w:val="TableGrid"/>
        <w:tblW w:w="0" w:type="auto"/>
        <w:tblLook w:val="04A0" w:firstRow="1" w:lastRow="0" w:firstColumn="1" w:lastColumn="0" w:noHBand="0" w:noVBand="1"/>
      </w:tblPr>
      <w:tblGrid>
        <w:gridCol w:w="1129"/>
        <w:gridCol w:w="5387"/>
        <w:gridCol w:w="3113"/>
      </w:tblGrid>
      <w:tr w:rsidR="00E13E8B" w:rsidRPr="000D1385" w14:paraId="4CAB05DE" w14:textId="77777777" w:rsidTr="00387A11">
        <w:trPr>
          <w:tblHeader/>
        </w:trPr>
        <w:tc>
          <w:tcPr>
            <w:tcW w:w="1129" w:type="dxa"/>
          </w:tcPr>
          <w:p w14:paraId="336D6BE7" w14:textId="77777777" w:rsidR="00E27C17" w:rsidRPr="000D1385" w:rsidRDefault="00043F37" w:rsidP="00C36EB0">
            <w:pPr>
              <w:spacing w:before="20" w:after="20"/>
              <w:rPr>
                <w:rFonts w:asciiTheme="minorHAnsi" w:hAnsiTheme="minorHAnsi"/>
                <w:b/>
                <w:sz w:val="24"/>
                <w:szCs w:val="24"/>
                <w:lang w:val="en-NZ"/>
              </w:rPr>
            </w:pPr>
            <w:r w:rsidRPr="000D1385">
              <w:rPr>
                <w:rFonts w:asciiTheme="minorHAnsi" w:hAnsiTheme="minorHAnsi"/>
                <w:b/>
                <w:sz w:val="24"/>
                <w:szCs w:val="24"/>
                <w:lang w:val="en-NZ"/>
              </w:rPr>
              <w:t>Sector</w:t>
            </w:r>
          </w:p>
        </w:tc>
        <w:tc>
          <w:tcPr>
            <w:tcW w:w="5387" w:type="dxa"/>
          </w:tcPr>
          <w:p w14:paraId="07D13AE3" w14:textId="77777777" w:rsidR="00E27C17" w:rsidRPr="000D1385" w:rsidRDefault="00043F37" w:rsidP="00C36EB0">
            <w:pPr>
              <w:spacing w:before="20" w:after="20"/>
              <w:rPr>
                <w:rFonts w:asciiTheme="minorHAnsi" w:hAnsiTheme="minorHAnsi"/>
                <w:b/>
                <w:sz w:val="24"/>
                <w:szCs w:val="24"/>
                <w:lang w:val="en-NZ"/>
              </w:rPr>
            </w:pPr>
            <w:r w:rsidRPr="000D1385">
              <w:rPr>
                <w:rFonts w:asciiTheme="minorHAnsi" w:hAnsiTheme="minorHAnsi"/>
                <w:b/>
                <w:sz w:val="24"/>
                <w:szCs w:val="24"/>
                <w:lang w:val="en-NZ"/>
              </w:rPr>
              <w:t>P good practice</w:t>
            </w:r>
          </w:p>
        </w:tc>
        <w:tc>
          <w:tcPr>
            <w:tcW w:w="3113" w:type="dxa"/>
          </w:tcPr>
          <w:p w14:paraId="00CCD243" w14:textId="77777777" w:rsidR="00E27C17" w:rsidRPr="000D1385" w:rsidRDefault="00E27C17" w:rsidP="00C36EB0">
            <w:pPr>
              <w:spacing w:before="20" w:after="20"/>
              <w:rPr>
                <w:rFonts w:asciiTheme="minorHAnsi" w:hAnsiTheme="minorHAnsi"/>
                <w:b/>
                <w:sz w:val="24"/>
                <w:szCs w:val="24"/>
                <w:lang w:val="en-NZ"/>
              </w:rPr>
            </w:pPr>
            <w:r w:rsidRPr="000D1385">
              <w:rPr>
                <w:rFonts w:asciiTheme="minorHAnsi" w:hAnsiTheme="minorHAnsi"/>
                <w:b/>
                <w:sz w:val="24"/>
                <w:szCs w:val="24"/>
                <w:lang w:val="en-NZ"/>
              </w:rPr>
              <w:t>Co</w:t>
            </w:r>
            <w:r w:rsidR="00043F37" w:rsidRPr="000D1385">
              <w:rPr>
                <w:rFonts w:asciiTheme="minorHAnsi" w:hAnsiTheme="minorHAnsi"/>
                <w:b/>
                <w:sz w:val="24"/>
                <w:szCs w:val="24"/>
                <w:lang w:val="en-NZ"/>
              </w:rPr>
              <w:t>mment</w:t>
            </w:r>
          </w:p>
        </w:tc>
      </w:tr>
      <w:tr w:rsidR="00E13E8B" w:rsidRPr="000D1385" w14:paraId="7267BD3B" w14:textId="77777777" w:rsidTr="00672A74">
        <w:tc>
          <w:tcPr>
            <w:tcW w:w="1129" w:type="dxa"/>
          </w:tcPr>
          <w:p w14:paraId="580CF1F6" w14:textId="77777777" w:rsidR="00E27C17" w:rsidRPr="000D1385" w:rsidRDefault="00043F37" w:rsidP="00C36EB0">
            <w:pPr>
              <w:spacing w:before="20" w:after="20"/>
              <w:ind w:left="66"/>
              <w:rPr>
                <w:rFonts w:asciiTheme="minorHAnsi" w:hAnsiTheme="minorHAnsi"/>
                <w:b/>
                <w:lang w:val="en-NZ"/>
              </w:rPr>
            </w:pPr>
            <w:r w:rsidRPr="000D1385">
              <w:rPr>
                <w:rFonts w:asciiTheme="minorHAnsi" w:hAnsiTheme="minorHAnsi"/>
                <w:b/>
                <w:lang w:val="en-NZ"/>
              </w:rPr>
              <w:t>Sheep and beef</w:t>
            </w:r>
            <w:r w:rsidR="00672A74" w:rsidRPr="000D1385">
              <w:rPr>
                <w:rFonts w:asciiTheme="minorHAnsi" w:hAnsiTheme="minorHAnsi"/>
                <w:b/>
                <w:lang w:val="en-NZ"/>
              </w:rPr>
              <w:t xml:space="preserve"> (also deer)</w:t>
            </w:r>
          </w:p>
        </w:tc>
        <w:tc>
          <w:tcPr>
            <w:tcW w:w="5387" w:type="dxa"/>
          </w:tcPr>
          <w:p w14:paraId="03AB4748" w14:textId="77777777" w:rsidR="00043F37" w:rsidRPr="000D1385" w:rsidRDefault="00043F37" w:rsidP="00C36EB0">
            <w:pPr>
              <w:spacing w:before="20" w:after="20"/>
              <w:rPr>
                <w:rFonts w:asciiTheme="minorHAnsi" w:hAnsiTheme="minorHAnsi"/>
                <w:lang w:val="en-NZ"/>
              </w:rPr>
            </w:pPr>
            <w:r w:rsidRPr="000D1385">
              <w:rPr>
                <w:rFonts w:asciiTheme="minorHAnsi" w:hAnsiTheme="minorHAnsi"/>
                <w:lang w:val="en-NZ"/>
              </w:rPr>
              <w:t xml:space="preserve">P good practice is captured within B&amp;LNZ’s </w:t>
            </w:r>
            <w:hyperlink r:id="rId11" w:history="1">
              <w:r w:rsidRPr="000D1385">
                <w:rPr>
                  <w:rStyle w:val="Hyperlink"/>
                  <w:rFonts w:asciiTheme="minorHAnsi" w:hAnsiTheme="minorHAnsi"/>
                  <w:lang w:val="en-NZ"/>
                </w:rPr>
                <w:t>Land and Environment Plans</w:t>
              </w:r>
            </w:hyperlink>
            <w:r w:rsidRPr="000D1385">
              <w:rPr>
                <w:rFonts w:asciiTheme="minorHAnsi" w:hAnsiTheme="minorHAnsi"/>
                <w:lang w:val="en-NZ"/>
              </w:rPr>
              <w:t xml:space="preserve">, including its </w:t>
            </w:r>
            <w:hyperlink r:id="rId12" w:history="1">
              <w:r w:rsidRPr="000D1385">
                <w:rPr>
                  <w:rStyle w:val="Hyperlink"/>
                  <w:rFonts w:asciiTheme="minorHAnsi" w:hAnsiTheme="minorHAnsi"/>
                  <w:lang w:val="en-NZ"/>
                </w:rPr>
                <w:t>Menu of practices to improve water quality</w:t>
              </w:r>
            </w:hyperlink>
            <w:r w:rsidRPr="000D1385">
              <w:rPr>
                <w:rFonts w:asciiTheme="minorHAnsi" w:hAnsiTheme="minorHAnsi"/>
                <w:lang w:val="en-NZ"/>
              </w:rPr>
              <w:t xml:space="preserve"> which includes advice on a wide range of practices targeting N, P, sediment and micro-organisms, with estimates of reduction (low, medium &amp; high), relative cost and relative benefit (latter refers to farm profitability).</w:t>
            </w:r>
            <w:r w:rsidR="00672A74" w:rsidRPr="000D1385">
              <w:rPr>
                <w:rFonts w:asciiTheme="minorHAnsi" w:hAnsiTheme="minorHAnsi"/>
                <w:lang w:val="en-NZ"/>
              </w:rPr>
              <w:t xml:space="preserve"> ‘Menu’ e</w:t>
            </w:r>
            <w:r w:rsidRPr="000D1385">
              <w:rPr>
                <w:rFonts w:asciiTheme="minorHAnsi" w:hAnsiTheme="minorHAnsi"/>
                <w:lang w:val="en-NZ"/>
              </w:rPr>
              <w:t xml:space="preserve">xamples </w:t>
            </w:r>
            <w:r w:rsidR="00672A74" w:rsidRPr="000D1385">
              <w:rPr>
                <w:rFonts w:asciiTheme="minorHAnsi" w:hAnsiTheme="minorHAnsi"/>
                <w:lang w:val="en-NZ"/>
              </w:rPr>
              <w:t xml:space="preserve">for P </w:t>
            </w:r>
            <w:r w:rsidRPr="000D1385">
              <w:rPr>
                <w:rFonts w:asciiTheme="minorHAnsi" w:hAnsiTheme="minorHAnsi"/>
                <w:lang w:val="en-NZ"/>
              </w:rPr>
              <w:t xml:space="preserve">include: </w:t>
            </w:r>
          </w:p>
          <w:p w14:paraId="5CDA519F" w14:textId="77777777" w:rsidR="00E27C17" w:rsidRPr="000D1385" w:rsidRDefault="00043F37" w:rsidP="00C36EB0">
            <w:pPr>
              <w:numPr>
                <w:ilvl w:val="0"/>
                <w:numId w:val="7"/>
              </w:numPr>
              <w:spacing w:before="20" w:after="20"/>
              <w:rPr>
                <w:rFonts w:asciiTheme="minorHAnsi" w:hAnsiTheme="minorHAnsi"/>
                <w:lang w:val="en-NZ"/>
              </w:rPr>
            </w:pPr>
            <w:r w:rsidRPr="000D1385">
              <w:rPr>
                <w:rFonts w:asciiTheme="minorHAnsi" w:hAnsiTheme="minorHAnsi"/>
                <w:lang w:val="en-NZ"/>
              </w:rPr>
              <w:t>Keep Olsen P at agronomic optimum (using soil testing)</w:t>
            </w:r>
            <w:r w:rsidR="00672A74" w:rsidRPr="000D1385">
              <w:rPr>
                <w:rFonts w:asciiTheme="minorHAnsi" w:hAnsiTheme="minorHAnsi"/>
                <w:lang w:val="en-NZ"/>
              </w:rPr>
              <w:t xml:space="preserve"> – this has a ‘high’ rating for P reduction with low cost and high benefit</w:t>
            </w:r>
          </w:p>
          <w:p w14:paraId="3E7A3101" w14:textId="77777777" w:rsidR="00672A74" w:rsidRPr="000D1385" w:rsidRDefault="00672A74" w:rsidP="00C36EB0">
            <w:pPr>
              <w:numPr>
                <w:ilvl w:val="0"/>
                <w:numId w:val="7"/>
              </w:numPr>
              <w:spacing w:before="20" w:after="20"/>
              <w:rPr>
                <w:rFonts w:asciiTheme="minorHAnsi" w:hAnsiTheme="minorHAnsi"/>
                <w:lang w:val="en-NZ"/>
              </w:rPr>
            </w:pPr>
            <w:r w:rsidRPr="000D1385">
              <w:rPr>
                <w:rFonts w:asciiTheme="minorHAnsi" w:hAnsiTheme="minorHAnsi"/>
                <w:lang w:val="en-NZ"/>
              </w:rPr>
              <w:t>Stock management to reduce erosion</w:t>
            </w:r>
            <w:r w:rsidR="00B635CF">
              <w:rPr>
                <w:rFonts w:asciiTheme="minorHAnsi" w:hAnsiTheme="minorHAnsi"/>
                <w:lang w:val="en-NZ"/>
              </w:rPr>
              <w:t>, pugging</w:t>
            </w:r>
          </w:p>
          <w:p w14:paraId="70B6D0F2" w14:textId="77777777" w:rsidR="00672A74" w:rsidRPr="000D1385" w:rsidRDefault="00672A74" w:rsidP="00C36EB0">
            <w:pPr>
              <w:numPr>
                <w:ilvl w:val="0"/>
                <w:numId w:val="7"/>
              </w:numPr>
              <w:spacing w:before="20" w:after="20"/>
              <w:rPr>
                <w:rFonts w:asciiTheme="minorHAnsi" w:hAnsiTheme="minorHAnsi"/>
                <w:lang w:val="en-NZ"/>
              </w:rPr>
            </w:pPr>
            <w:r w:rsidRPr="000D1385">
              <w:rPr>
                <w:rFonts w:asciiTheme="minorHAnsi" w:hAnsiTheme="minorHAnsi"/>
                <w:lang w:val="en-NZ"/>
              </w:rPr>
              <w:t>Managing critical source areas – hotspots e.g. Direct stockyard run off to paddock</w:t>
            </w:r>
          </w:p>
        </w:tc>
        <w:tc>
          <w:tcPr>
            <w:tcW w:w="3113" w:type="dxa"/>
          </w:tcPr>
          <w:p w14:paraId="307ACF19" w14:textId="77777777" w:rsidR="00E27C17" w:rsidRPr="000D1385" w:rsidRDefault="00043F37" w:rsidP="00C36EB0">
            <w:pPr>
              <w:spacing w:before="20" w:after="20"/>
              <w:rPr>
                <w:rFonts w:asciiTheme="minorHAnsi" w:hAnsiTheme="minorHAnsi"/>
                <w:lang w:val="en-NZ"/>
              </w:rPr>
            </w:pPr>
            <w:r w:rsidRPr="000D1385">
              <w:rPr>
                <w:rFonts w:asciiTheme="minorHAnsi" w:hAnsiTheme="minorHAnsi"/>
                <w:lang w:val="en-NZ"/>
              </w:rPr>
              <w:t>The ‘Menu’ good practice document was developed in association with the Upper Waikato Primary Sector Partnership but appears relevant to Lake Rotorua catchment</w:t>
            </w:r>
          </w:p>
        </w:tc>
      </w:tr>
      <w:tr w:rsidR="00E13E8B" w:rsidRPr="000D1385" w14:paraId="1FEA753C" w14:textId="77777777" w:rsidTr="00672A74">
        <w:tc>
          <w:tcPr>
            <w:tcW w:w="1129" w:type="dxa"/>
          </w:tcPr>
          <w:p w14:paraId="10D387C2" w14:textId="77777777" w:rsidR="00E27C17" w:rsidRPr="000D1385" w:rsidRDefault="00672A74" w:rsidP="00C36EB0">
            <w:pPr>
              <w:spacing w:before="20" w:after="20"/>
              <w:ind w:left="66"/>
              <w:rPr>
                <w:rFonts w:asciiTheme="minorHAnsi" w:hAnsiTheme="minorHAnsi"/>
                <w:b/>
                <w:lang w:val="en-NZ"/>
              </w:rPr>
            </w:pPr>
            <w:r w:rsidRPr="000D1385">
              <w:rPr>
                <w:rFonts w:asciiTheme="minorHAnsi" w:hAnsiTheme="minorHAnsi"/>
                <w:b/>
                <w:lang w:val="en-NZ"/>
              </w:rPr>
              <w:t>Dairy</w:t>
            </w:r>
          </w:p>
        </w:tc>
        <w:tc>
          <w:tcPr>
            <w:tcW w:w="5387" w:type="dxa"/>
          </w:tcPr>
          <w:p w14:paraId="1E0BD2C1" w14:textId="77777777" w:rsidR="00E27C17" w:rsidRPr="000D1385" w:rsidRDefault="00672A74" w:rsidP="00C36EB0">
            <w:pPr>
              <w:spacing w:before="20" w:after="20"/>
              <w:rPr>
                <w:rFonts w:asciiTheme="minorHAnsi" w:hAnsiTheme="minorHAnsi"/>
                <w:lang w:val="en-NZ"/>
              </w:rPr>
            </w:pPr>
            <w:r w:rsidRPr="000D1385">
              <w:rPr>
                <w:rFonts w:asciiTheme="minorHAnsi" w:hAnsiTheme="minorHAnsi"/>
                <w:lang w:val="en-NZ"/>
              </w:rPr>
              <w:t xml:space="preserve">DairyNZ has developed a comprehensive range of </w:t>
            </w:r>
            <w:r w:rsidR="00C75D5D" w:rsidRPr="000D1385">
              <w:rPr>
                <w:rFonts w:asciiTheme="minorHAnsi" w:hAnsiTheme="minorHAnsi"/>
                <w:lang w:val="en-NZ"/>
              </w:rPr>
              <w:t xml:space="preserve">(N &amp; P) </w:t>
            </w:r>
            <w:r w:rsidRPr="000D1385">
              <w:rPr>
                <w:rFonts w:asciiTheme="minorHAnsi" w:hAnsiTheme="minorHAnsi"/>
                <w:lang w:val="en-NZ"/>
              </w:rPr>
              <w:t>nutrient good practice guides, tools and extension capability. Key resources</w:t>
            </w:r>
            <w:r w:rsidR="00B57DFE" w:rsidRPr="000D1385">
              <w:rPr>
                <w:rFonts w:asciiTheme="minorHAnsi" w:hAnsiTheme="minorHAnsi"/>
                <w:lang w:val="en-NZ"/>
              </w:rPr>
              <w:t xml:space="preserve"> include:</w:t>
            </w:r>
          </w:p>
          <w:p w14:paraId="46A0EF35" w14:textId="77777777" w:rsidR="00B57DFE" w:rsidRPr="000D1385" w:rsidRDefault="004F48D0" w:rsidP="00C36EB0">
            <w:pPr>
              <w:numPr>
                <w:ilvl w:val="0"/>
                <w:numId w:val="7"/>
              </w:numPr>
              <w:spacing w:before="20" w:after="20"/>
              <w:rPr>
                <w:rFonts w:asciiTheme="minorHAnsi" w:hAnsiTheme="minorHAnsi"/>
                <w:lang w:val="en-NZ"/>
              </w:rPr>
            </w:pPr>
            <w:hyperlink r:id="rId13" w:history="1">
              <w:r w:rsidR="00B57DFE" w:rsidRPr="000D1385">
                <w:rPr>
                  <w:rStyle w:val="Hyperlink"/>
                  <w:rFonts w:asciiTheme="minorHAnsi" w:hAnsiTheme="minorHAnsi"/>
                  <w:lang w:val="en-NZ"/>
                </w:rPr>
                <w:t>Nutrient management on your dairy farm</w:t>
              </w:r>
            </w:hyperlink>
            <w:r w:rsidR="00B57DFE" w:rsidRPr="000D1385">
              <w:rPr>
                <w:rFonts w:asciiTheme="minorHAnsi" w:hAnsiTheme="minorHAnsi"/>
                <w:lang w:val="en-NZ"/>
              </w:rPr>
              <w:t xml:space="preserve"> which covers many N and P good practices as well as the fundamentals of N and P sources, cycles, loss pathways and waterway impacts</w:t>
            </w:r>
          </w:p>
        </w:tc>
        <w:tc>
          <w:tcPr>
            <w:tcW w:w="3113" w:type="dxa"/>
          </w:tcPr>
          <w:p w14:paraId="2705ADD4" w14:textId="77777777" w:rsidR="00E27C17" w:rsidRPr="000D1385" w:rsidRDefault="00C75D5D" w:rsidP="00C36EB0">
            <w:pPr>
              <w:spacing w:before="20" w:after="20"/>
              <w:rPr>
                <w:rFonts w:asciiTheme="minorHAnsi" w:hAnsiTheme="minorHAnsi"/>
                <w:lang w:val="en-NZ"/>
              </w:rPr>
            </w:pPr>
            <w:r w:rsidRPr="000D1385">
              <w:rPr>
                <w:rFonts w:asciiTheme="minorHAnsi" w:hAnsiTheme="minorHAnsi"/>
                <w:lang w:val="en-NZ"/>
              </w:rPr>
              <w:lastRenderedPageBreak/>
              <w:t xml:space="preserve">Good effluent practice has historically been noted as a significant means of reducing P </w:t>
            </w:r>
            <w:r w:rsidRPr="000D1385">
              <w:rPr>
                <w:rFonts w:asciiTheme="minorHAnsi" w:hAnsiTheme="minorHAnsi"/>
                <w:lang w:val="en-NZ"/>
              </w:rPr>
              <w:lastRenderedPageBreak/>
              <w:t>loss from dairy farms, especially shifting from ponds (discharging to water) to land irrigation. However, land irrigation has been the norm for all BOP dairy farms for many years.</w:t>
            </w:r>
          </w:p>
        </w:tc>
      </w:tr>
      <w:tr w:rsidR="00E13E8B" w:rsidRPr="000D1385" w14:paraId="5F427582" w14:textId="77777777" w:rsidTr="00672A74">
        <w:tc>
          <w:tcPr>
            <w:tcW w:w="1129" w:type="dxa"/>
          </w:tcPr>
          <w:p w14:paraId="00A042C3" w14:textId="77777777" w:rsidR="00E27C17" w:rsidRPr="000D1385" w:rsidRDefault="00B57DFE" w:rsidP="00C36EB0">
            <w:pPr>
              <w:spacing w:before="20" w:after="20"/>
              <w:ind w:left="66"/>
              <w:rPr>
                <w:rFonts w:asciiTheme="minorHAnsi" w:hAnsiTheme="minorHAnsi"/>
                <w:b/>
                <w:lang w:val="en-NZ"/>
              </w:rPr>
            </w:pPr>
            <w:r w:rsidRPr="000D1385">
              <w:rPr>
                <w:rFonts w:asciiTheme="minorHAnsi" w:hAnsiTheme="minorHAnsi"/>
                <w:b/>
                <w:lang w:val="en-NZ"/>
              </w:rPr>
              <w:lastRenderedPageBreak/>
              <w:t>Deer</w:t>
            </w:r>
          </w:p>
        </w:tc>
        <w:tc>
          <w:tcPr>
            <w:tcW w:w="5387" w:type="dxa"/>
          </w:tcPr>
          <w:p w14:paraId="1F2DDCA7" w14:textId="77777777" w:rsidR="000526C2" w:rsidRPr="000D1385" w:rsidRDefault="000526C2" w:rsidP="00C36EB0">
            <w:pPr>
              <w:spacing w:before="20" w:after="20"/>
              <w:rPr>
                <w:rFonts w:asciiTheme="minorHAnsi" w:hAnsiTheme="minorHAnsi"/>
                <w:lang w:val="en-NZ"/>
              </w:rPr>
            </w:pPr>
            <w:r w:rsidRPr="000D1385">
              <w:rPr>
                <w:rFonts w:asciiTheme="minorHAnsi" w:hAnsiTheme="minorHAnsi"/>
                <w:lang w:val="en-NZ"/>
              </w:rPr>
              <w:t xml:space="preserve">The </w:t>
            </w:r>
            <w:hyperlink r:id="rId14" w:history="1">
              <w:r w:rsidRPr="000D1385">
                <w:rPr>
                  <w:rStyle w:val="Hyperlink"/>
                  <w:rFonts w:asciiTheme="minorHAnsi" w:hAnsiTheme="minorHAnsi"/>
                  <w:lang w:val="en-NZ"/>
                </w:rPr>
                <w:t xml:space="preserve">NZDFA Landcare Manual </w:t>
              </w:r>
              <w:r w:rsidR="00B57DFE" w:rsidRPr="000D1385">
                <w:rPr>
                  <w:rStyle w:val="Hyperlink"/>
                  <w:rFonts w:asciiTheme="minorHAnsi" w:hAnsiTheme="minorHAnsi"/>
                  <w:lang w:val="en-NZ"/>
                </w:rPr>
                <w:t>Deer</w:t>
              </w:r>
            </w:hyperlink>
            <w:r w:rsidRPr="000D1385">
              <w:rPr>
                <w:rFonts w:asciiTheme="minorHAnsi" w:hAnsiTheme="minorHAnsi"/>
                <w:lang w:val="en-NZ"/>
              </w:rPr>
              <w:t xml:space="preserve"> provides specific practice guidance for deer farms while building on many practices identified for sheep and beef farms. There is a particular focus on:</w:t>
            </w:r>
          </w:p>
          <w:p w14:paraId="3D76B3C8" w14:textId="77777777" w:rsidR="00B8263A" w:rsidRPr="000D1385" w:rsidRDefault="000526C2" w:rsidP="00C36EB0">
            <w:pPr>
              <w:numPr>
                <w:ilvl w:val="0"/>
                <w:numId w:val="7"/>
              </w:numPr>
              <w:spacing w:before="20" w:after="20"/>
              <w:rPr>
                <w:rFonts w:asciiTheme="minorHAnsi" w:hAnsiTheme="minorHAnsi"/>
                <w:lang w:val="en-NZ"/>
              </w:rPr>
            </w:pPr>
            <w:r w:rsidRPr="000D1385">
              <w:rPr>
                <w:rFonts w:asciiTheme="minorHAnsi" w:hAnsiTheme="minorHAnsi"/>
                <w:lang w:val="en-NZ"/>
              </w:rPr>
              <w:t>soil protection e.g. minimising fence-line pacing</w:t>
            </w:r>
          </w:p>
          <w:p w14:paraId="0DDBDF15" w14:textId="77777777" w:rsidR="000526C2" w:rsidRPr="000D1385" w:rsidRDefault="000526C2" w:rsidP="00C36EB0">
            <w:pPr>
              <w:numPr>
                <w:ilvl w:val="0"/>
                <w:numId w:val="7"/>
              </w:numPr>
              <w:spacing w:before="20" w:after="20"/>
              <w:rPr>
                <w:rFonts w:asciiTheme="minorHAnsi" w:hAnsiTheme="minorHAnsi"/>
                <w:lang w:val="en-NZ"/>
              </w:rPr>
            </w:pPr>
            <w:r w:rsidRPr="000D1385">
              <w:rPr>
                <w:rFonts w:asciiTheme="minorHAnsi" w:hAnsiTheme="minorHAnsi"/>
                <w:lang w:val="en-NZ"/>
              </w:rPr>
              <w:t>water protection e.g. managing wallowing</w:t>
            </w:r>
          </w:p>
        </w:tc>
        <w:tc>
          <w:tcPr>
            <w:tcW w:w="3113" w:type="dxa"/>
          </w:tcPr>
          <w:p w14:paraId="4709D523" w14:textId="77777777" w:rsidR="005647E6" w:rsidRPr="000D1385" w:rsidRDefault="000526C2" w:rsidP="00C36EB0">
            <w:pPr>
              <w:spacing w:before="20" w:after="20"/>
              <w:rPr>
                <w:rFonts w:asciiTheme="minorHAnsi" w:hAnsiTheme="minorHAnsi"/>
                <w:lang w:val="en-NZ"/>
              </w:rPr>
            </w:pPr>
            <w:r w:rsidRPr="000D1385">
              <w:rPr>
                <w:rFonts w:asciiTheme="minorHAnsi" w:hAnsiTheme="minorHAnsi"/>
                <w:lang w:val="en-NZ"/>
              </w:rPr>
              <w:t>NZDFA has a relationship with B&amp;LNZ to enable use of the LEP toolkit on deer farms.</w:t>
            </w:r>
          </w:p>
        </w:tc>
      </w:tr>
      <w:tr w:rsidR="00E13E8B" w:rsidRPr="000D1385" w14:paraId="3E2E8DA6" w14:textId="77777777" w:rsidTr="00672A74">
        <w:tc>
          <w:tcPr>
            <w:tcW w:w="1129" w:type="dxa"/>
          </w:tcPr>
          <w:p w14:paraId="13A2D53F" w14:textId="77777777" w:rsidR="00E27C17" w:rsidRPr="000D1385" w:rsidRDefault="00B57DFE" w:rsidP="00C36EB0">
            <w:pPr>
              <w:spacing w:before="20" w:after="20"/>
              <w:ind w:left="66"/>
              <w:rPr>
                <w:rFonts w:asciiTheme="minorHAnsi" w:hAnsiTheme="minorHAnsi"/>
                <w:b/>
                <w:lang w:val="en-NZ"/>
              </w:rPr>
            </w:pPr>
            <w:r w:rsidRPr="000D1385">
              <w:rPr>
                <w:rFonts w:asciiTheme="minorHAnsi" w:hAnsiTheme="minorHAnsi"/>
                <w:b/>
                <w:lang w:val="en-NZ"/>
              </w:rPr>
              <w:t>Forestry</w:t>
            </w:r>
          </w:p>
        </w:tc>
        <w:tc>
          <w:tcPr>
            <w:tcW w:w="5387" w:type="dxa"/>
          </w:tcPr>
          <w:p w14:paraId="68DB7D45" w14:textId="77777777" w:rsidR="002B5325" w:rsidRPr="000D1385" w:rsidRDefault="00C75D5D" w:rsidP="00C36EB0">
            <w:pPr>
              <w:spacing w:before="20" w:after="20"/>
              <w:rPr>
                <w:rFonts w:asciiTheme="minorHAnsi" w:hAnsiTheme="minorHAnsi"/>
                <w:lang w:val="en-NZ"/>
              </w:rPr>
            </w:pPr>
            <w:r w:rsidRPr="000D1385">
              <w:rPr>
                <w:rFonts w:asciiTheme="minorHAnsi" w:hAnsiTheme="minorHAnsi"/>
                <w:lang w:val="en-NZ"/>
              </w:rPr>
              <w:t xml:space="preserve">The NZ </w:t>
            </w:r>
            <w:r w:rsidR="00C11BA3" w:rsidRPr="000D1385">
              <w:rPr>
                <w:rFonts w:asciiTheme="minorHAnsi" w:hAnsiTheme="minorHAnsi"/>
                <w:lang w:val="en-NZ"/>
              </w:rPr>
              <w:t>F</w:t>
            </w:r>
            <w:r w:rsidRPr="000D1385">
              <w:rPr>
                <w:rFonts w:asciiTheme="minorHAnsi" w:hAnsiTheme="minorHAnsi"/>
                <w:lang w:val="en-NZ"/>
              </w:rPr>
              <w:t xml:space="preserve">orest </w:t>
            </w:r>
            <w:r w:rsidR="00C11BA3" w:rsidRPr="000D1385">
              <w:rPr>
                <w:rFonts w:asciiTheme="minorHAnsi" w:hAnsiTheme="minorHAnsi"/>
                <w:lang w:val="en-NZ"/>
              </w:rPr>
              <w:t>O</w:t>
            </w:r>
            <w:r w:rsidRPr="000D1385">
              <w:rPr>
                <w:rFonts w:asciiTheme="minorHAnsi" w:hAnsiTheme="minorHAnsi"/>
                <w:lang w:val="en-NZ"/>
              </w:rPr>
              <w:t xml:space="preserve">wner’s </w:t>
            </w:r>
            <w:r w:rsidR="00C11BA3" w:rsidRPr="000D1385">
              <w:rPr>
                <w:rFonts w:asciiTheme="minorHAnsi" w:hAnsiTheme="minorHAnsi"/>
                <w:lang w:val="en-NZ"/>
              </w:rPr>
              <w:t>A</w:t>
            </w:r>
            <w:r w:rsidRPr="000D1385">
              <w:rPr>
                <w:rFonts w:asciiTheme="minorHAnsi" w:hAnsiTheme="minorHAnsi"/>
                <w:lang w:val="en-NZ"/>
              </w:rPr>
              <w:t>ssociation</w:t>
            </w:r>
            <w:r w:rsidR="00C11BA3" w:rsidRPr="000D1385">
              <w:rPr>
                <w:rFonts w:asciiTheme="minorHAnsi" w:hAnsiTheme="minorHAnsi"/>
                <w:lang w:val="en-NZ"/>
              </w:rPr>
              <w:t xml:space="preserve"> (NZFOA) has promoted good nutrient management as part of a formal Codes of Practice since 1990</w:t>
            </w:r>
            <w:r w:rsidR="002B5325" w:rsidRPr="000D1385">
              <w:rPr>
                <w:rFonts w:asciiTheme="minorHAnsi" w:hAnsiTheme="minorHAnsi"/>
                <w:lang w:val="en-NZ"/>
              </w:rPr>
              <w:t>. The 20</w:t>
            </w:r>
            <w:r w:rsidR="001E7DE1" w:rsidRPr="000D1385">
              <w:rPr>
                <w:rFonts w:asciiTheme="minorHAnsi" w:hAnsiTheme="minorHAnsi"/>
                <w:lang w:val="en-NZ"/>
              </w:rPr>
              <w:t>15</w:t>
            </w:r>
            <w:r w:rsidR="002B5325" w:rsidRPr="000D1385">
              <w:rPr>
                <w:rFonts w:asciiTheme="minorHAnsi" w:hAnsiTheme="minorHAnsi"/>
                <w:lang w:val="en-NZ"/>
              </w:rPr>
              <w:t xml:space="preserve"> </w:t>
            </w:r>
            <w:hyperlink r:id="rId15" w:history="1">
              <w:r w:rsidR="002B5325" w:rsidRPr="000D1385">
                <w:rPr>
                  <w:rStyle w:val="Hyperlink"/>
                  <w:rFonts w:asciiTheme="minorHAnsi" w:hAnsiTheme="minorHAnsi"/>
                  <w:lang w:val="en-NZ"/>
                </w:rPr>
                <w:t xml:space="preserve">Environmental Code of Practice </w:t>
              </w:r>
            </w:hyperlink>
            <w:r w:rsidR="002B5325" w:rsidRPr="000D1385">
              <w:rPr>
                <w:rFonts w:asciiTheme="minorHAnsi" w:hAnsiTheme="minorHAnsi"/>
                <w:lang w:val="en-NZ"/>
              </w:rPr>
              <w:t>(E-CoP) was developed by a team including several BOP contributors. The E-CoP targets operational practitioners and forest planners within a EMS framework. Numerous listed practices seek to minimise soil disturbance and sediment loss with consequent P benefits, including:</w:t>
            </w:r>
          </w:p>
          <w:p w14:paraId="4761A06D" w14:textId="77777777" w:rsidR="002B5325" w:rsidRPr="000D1385" w:rsidRDefault="002B5325" w:rsidP="00C36EB0">
            <w:pPr>
              <w:numPr>
                <w:ilvl w:val="0"/>
                <w:numId w:val="8"/>
              </w:numPr>
              <w:spacing w:before="20" w:after="20"/>
              <w:rPr>
                <w:rFonts w:asciiTheme="minorHAnsi" w:hAnsiTheme="minorHAnsi"/>
                <w:lang w:val="en-NZ"/>
              </w:rPr>
            </w:pPr>
            <w:r w:rsidRPr="000D1385">
              <w:rPr>
                <w:rFonts w:asciiTheme="minorHAnsi" w:hAnsiTheme="minorHAnsi"/>
                <w:lang w:val="en-NZ"/>
              </w:rPr>
              <w:t>Earthworks controls and revegetation</w:t>
            </w:r>
          </w:p>
          <w:p w14:paraId="07543FB5" w14:textId="77777777" w:rsidR="002B5325" w:rsidRPr="000D1385" w:rsidRDefault="002B5325" w:rsidP="00C36EB0">
            <w:pPr>
              <w:numPr>
                <w:ilvl w:val="0"/>
                <w:numId w:val="8"/>
              </w:numPr>
              <w:spacing w:before="20" w:after="20"/>
              <w:rPr>
                <w:rFonts w:asciiTheme="minorHAnsi" w:hAnsiTheme="minorHAnsi"/>
                <w:lang w:val="en-NZ"/>
              </w:rPr>
            </w:pPr>
            <w:r w:rsidRPr="000D1385">
              <w:rPr>
                <w:rFonts w:asciiTheme="minorHAnsi" w:hAnsiTheme="minorHAnsi"/>
                <w:lang w:val="en-NZ"/>
              </w:rPr>
              <w:t>Engineered stream crossings</w:t>
            </w:r>
          </w:p>
          <w:p w14:paraId="461CA885" w14:textId="77777777" w:rsidR="00E27C17" w:rsidRPr="000D1385" w:rsidRDefault="002B5325" w:rsidP="00C36EB0">
            <w:pPr>
              <w:numPr>
                <w:ilvl w:val="0"/>
                <w:numId w:val="8"/>
              </w:numPr>
              <w:spacing w:before="20" w:after="20"/>
              <w:rPr>
                <w:rFonts w:asciiTheme="minorHAnsi" w:hAnsiTheme="minorHAnsi"/>
                <w:lang w:val="en-NZ"/>
              </w:rPr>
            </w:pPr>
            <w:r w:rsidRPr="000D1385">
              <w:rPr>
                <w:rFonts w:asciiTheme="minorHAnsi" w:hAnsiTheme="minorHAnsi"/>
                <w:lang w:val="en-NZ"/>
              </w:rPr>
              <w:t>Avoiding earthworks within 5m of waterways</w:t>
            </w:r>
          </w:p>
        </w:tc>
        <w:tc>
          <w:tcPr>
            <w:tcW w:w="3113" w:type="dxa"/>
          </w:tcPr>
          <w:p w14:paraId="5479BEC5" w14:textId="77777777" w:rsidR="008B3396" w:rsidRPr="000D1385" w:rsidRDefault="001E7DE1" w:rsidP="00C36EB0">
            <w:pPr>
              <w:spacing w:before="20" w:after="20"/>
              <w:rPr>
                <w:rFonts w:asciiTheme="minorHAnsi" w:hAnsiTheme="minorHAnsi"/>
                <w:lang w:val="en-NZ"/>
              </w:rPr>
            </w:pPr>
            <w:r w:rsidRPr="000D1385">
              <w:rPr>
                <w:rFonts w:asciiTheme="minorHAnsi" w:hAnsiTheme="minorHAnsi"/>
                <w:lang w:val="en-NZ"/>
              </w:rPr>
              <w:t>In addition to E-CoP, most commercial NZ foresters participate in the internationally recognised Forest Stewardship Council (FSC) EMS (</w:t>
            </w:r>
            <w:hyperlink r:id="rId16" w:history="1">
              <w:r w:rsidRPr="000D1385">
                <w:rPr>
                  <w:rStyle w:val="Hyperlink"/>
                  <w:rFonts w:asciiTheme="minorHAnsi" w:hAnsiTheme="minorHAnsi"/>
                  <w:lang w:val="en-NZ"/>
                </w:rPr>
                <w:t>2013 version</w:t>
              </w:r>
            </w:hyperlink>
            <w:r w:rsidRPr="000D1385">
              <w:rPr>
                <w:rFonts w:asciiTheme="minorHAnsi" w:hAnsiTheme="minorHAnsi"/>
                <w:lang w:val="en-NZ"/>
              </w:rPr>
              <w:t xml:space="preserve">). </w:t>
            </w:r>
          </w:p>
          <w:p w14:paraId="5D987E35" w14:textId="77777777" w:rsidR="00E13E8B" w:rsidRPr="000D1385" w:rsidRDefault="008B3396" w:rsidP="00C36EB0">
            <w:pPr>
              <w:spacing w:before="20" w:after="20"/>
              <w:rPr>
                <w:rFonts w:asciiTheme="minorHAnsi" w:hAnsiTheme="minorHAnsi"/>
                <w:lang w:val="en-NZ"/>
              </w:rPr>
            </w:pPr>
            <w:r w:rsidRPr="000D1385">
              <w:rPr>
                <w:rFonts w:asciiTheme="minorHAnsi" w:hAnsiTheme="minorHAnsi"/>
                <w:lang w:val="en-NZ"/>
              </w:rPr>
              <w:t xml:space="preserve">Scion continues to </w:t>
            </w:r>
            <w:hyperlink r:id="rId17" w:history="1">
              <w:r w:rsidRPr="000D1385">
                <w:rPr>
                  <w:rStyle w:val="Hyperlink"/>
                  <w:rFonts w:asciiTheme="minorHAnsi" w:hAnsiTheme="minorHAnsi"/>
                  <w:lang w:val="en-NZ"/>
                </w:rPr>
                <w:t>develop the NuBalM model</w:t>
              </w:r>
            </w:hyperlink>
            <w:r w:rsidRPr="000D1385">
              <w:rPr>
                <w:rFonts w:asciiTheme="minorHAnsi" w:hAnsiTheme="minorHAnsi"/>
                <w:lang w:val="en-NZ"/>
              </w:rPr>
              <w:t xml:space="preserve"> which will ultimately be able to predict N &amp; P loss rates, with scope to link to OVERSEER. </w:t>
            </w:r>
          </w:p>
        </w:tc>
      </w:tr>
      <w:tr w:rsidR="00FF5A6D" w:rsidRPr="000D1385" w14:paraId="54FBA244" w14:textId="77777777" w:rsidTr="00672A74">
        <w:tc>
          <w:tcPr>
            <w:tcW w:w="1129" w:type="dxa"/>
          </w:tcPr>
          <w:p w14:paraId="1AFCDD58" w14:textId="77777777" w:rsidR="00FF5A6D" w:rsidRPr="000D1385" w:rsidRDefault="00FF5A6D" w:rsidP="00C36EB0">
            <w:pPr>
              <w:spacing w:before="20" w:after="20"/>
              <w:ind w:left="66"/>
              <w:rPr>
                <w:rFonts w:asciiTheme="minorHAnsi" w:hAnsiTheme="minorHAnsi"/>
                <w:b/>
                <w:lang w:val="en-NZ"/>
              </w:rPr>
            </w:pPr>
            <w:r w:rsidRPr="000D1385">
              <w:rPr>
                <w:rFonts w:asciiTheme="minorHAnsi" w:hAnsiTheme="minorHAnsi"/>
                <w:b/>
                <w:lang w:val="en-NZ"/>
              </w:rPr>
              <w:t>Small blocks</w:t>
            </w:r>
          </w:p>
        </w:tc>
        <w:tc>
          <w:tcPr>
            <w:tcW w:w="5387" w:type="dxa"/>
          </w:tcPr>
          <w:p w14:paraId="0D8267BF" w14:textId="6F81E9A0" w:rsidR="00FF5A6D" w:rsidRPr="000D1385" w:rsidRDefault="00FF5A6D" w:rsidP="00C36EB0">
            <w:pPr>
              <w:spacing w:before="20" w:after="20"/>
              <w:rPr>
                <w:rFonts w:asciiTheme="minorHAnsi" w:hAnsiTheme="minorHAnsi"/>
                <w:lang w:val="en-NZ"/>
              </w:rPr>
            </w:pPr>
            <w:r w:rsidRPr="000D1385">
              <w:rPr>
                <w:rFonts w:asciiTheme="minorHAnsi" w:hAnsiTheme="minorHAnsi"/>
                <w:lang w:val="en-NZ"/>
              </w:rPr>
              <w:t>The Small Block guide</w:t>
            </w:r>
            <w:r w:rsidR="00C36EB0">
              <w:rPr>
                <w:rFonts w:asciiTheme="minorHAnsi" w:hAnsiTheme="minorHAnsi"/>
                <w:lang w:val="en-NZ"/>
              </w:rPr>
              <w:t xml:space="preserve"> (prepared by Landconnect Ltd, awaiting publication)</w:t>
            </w:r>
          </w:p>
        </w:tc>
        <w:tc>
          <w:tcPr>
            <w:tcW w:w="3113" w:type="dxa"/>
          </w:tcPr>
          <w:p w14:paraId="5ED2B877" w14:textId="77777777" w:rsidR="00FF5A6D" w:rsidRPr="000D1385" w:rsidRDefault="00FF5A6D" w:rsidP="00C36EB0">
            <w:pPr>
              <w:spacing w:before="20" w:after="20"/>
              <w:rPr>
                <w:rFonts w:asciiTheme="minorHAnsi" w:hAnsiTheme="minorHAnsi"/>
                <w:lang w:val="en-NZ"/>
              </w:rPr>
            </w:pPr>
          </w:p>
        </w:tc>
      </w:tr>
    </w:tbl>
    <w:p w14:paraId="36573557" w14:textId="77777777" w:rsidR="00084BBB" w:rsidRPr="00521F05" w:rsidRDefault="00084BBB" w:rsidP="00521F05">
      <w:pPr>
        <w:numPr>
          <w:ilvl w:val="1"/>
          <w:numId w:val="3"/>
        </w:numPr>
        <w:spacing w:before="240" w:after="60" w:line="264" w:lineRule="auto"/>
        <w:rPr>
          <w:rFonts w:asciiTheme="minorHAnsi" w:hAnsiTheme="minorHAnsi" w:cs="Calibri"/>
          <w:b/>
          <w:sz w:val="24"/>
          <w:szCs w:val="24"/>
          <w:lang w:val="en-NZ"/>
        </w:rPr>
      </w:pPr>
      <w:bookmarkStart w:id="1" w:name="_Ref475650386"/>
      <w:r w:rsidRPr="00521F05">
        <w:rPr>
          <w:rFonts w:asciiTheme="minorHAnsi" w:hAnsiTheme="minorHAnsi" w:cs="Calibri"/>
          <w:b/>
          <w:sz w:val="24"/>
          <w:szCs w:val="24"/>
          <w:lang w:val="en-NZ"/>
        </w:rPr>
        <w:t>Good practice ‘</w:t>
      </w:r>
      <w:r w:rsidR="002D1899" w:rsidRPr="00521F05">
        <w:rPr>
          <w:rFonts w:asciiTheme="minorHAnsi" w:hAnsiTheme="minorHAnsi" w:cs="Calibri"/>
          <w:b/>
          <w:sz w:val="24"/>
          <w:szCs w:val="24"/>
          <w:lang w:val="en-NZ"/>
        </w:rPr>
        <w:t xml:space="preserve">P </w:t>
      </w:r>
      <w:r w:rsidRPr="00521F05">
        <w:rPr>
          <w:rFonts w:asciiTheme="minorHAnsi" w:hAnsiTheme="minorHAnsi" w:cs="Calibri"/>
          <w:b/>
          <w:sz w:val="24"/>
          <w:szCs w:val="24"/>
          <w:lang w:val="en-NZ"/>
        </w:rPr>
        <w:t>by-catch’ when focusing on N</w:t>
      </w:r>
      <w:bookmarkEnd w:id="1"/>
    </w:p>
    <w:p w14:paraId="60E85112" w14:textId="4A479192" w:rsidR="003659B7" w:rsidRPr="000D1385" w:rsidRDefault="00084BBB" w:rsidP="006B7031">
      <w:pPr>
        <w:spacing w:before="60" w:after="60"/>
        <w:rPr>
          <w:rFonts w:asciiTheme="minorHAnsi" w:hAnsiTheme="minorHAnsi"/>
          <w:lang w:val="en-NZ"/>
        </w:rPr>
      </w:pPr>
      <w:r w:rsidRPr="000D1385">
        <w:rPr>
          <w:rFonts w:asciiTheme="minorHAnsi" w:hAnsiTheme="minorHAnsi"/>
          <w:lang w:val="en-NZ"/>
        </w:rPr>
        <w:t xml:space="preserve">As noted by participants </w:t>
      </w:r>
      <w:r w:rsidR="002D1899" w:rsidRPr="000D1385">
        <w:rPr>
          <w:rFonts w:asciiTheme="minorHAnsi" w:hAnsiTheme="minorHAnsi"/>
          <w:lang w:val="en-NZ"/>
        </w:rPr>
        <w:t>at the November 2016 P workshop, N mitigation does not</w:t>
      </w:r>
      <w:r w:rsidR="001E6774">
        <w:rPr>
          <w:rFonts w:asciiTheme="minorHAnsi" w:hAnsiTheme="minorHAnsi"/>
          <w:lang w:val="en-NZ"/>
        </w:rPr>
        <w:t xml:space="preserve"> always </w:t>
      </w:r>
      <w:r w:rsidR="002D1899" w:rsidRPr="000D1385">
        <w:rPr>
          <w:rFonts w:asciiTheme="minorHAnsi" w:hAnsiTheme="minorHAnsi"/>
          <w:lang w:val="en-NZ"/>
        </w:rPr>
        <w:t>mean there will be accompanying P mitigation. However, a</w:t>
      </w:r>
      <w:r w:rsidR="00B635CF">
        <w:rPr>
          <w:rFonts w:asciiTheme="minorHAnsi" w:hAnsiTheme="minorHAnsi"/>
          <w:lang w:val="en-NZ"/>
        </w:rPr>
        <w:t>n</w:t>
      </w:r>
      <w:r w:rsidR="002D1899" w:rsidRPr="000D1385">
        <w:rPr>
          <w:rFonts w:asciiTheme="minorHAnsi" w:hAnsiTheme="minorHAnsi"/>
          <w:lang w:val="en-NZ"/>
        </w:rPr>
        <w:t xml:space="preserve"> indication of the scope for accompanying P mitigation (‘P by-catch’ in this context) can be </w:t>
      </w:r>
      <w:r w:rsidR="00B635CF">
        <w:rPr>
          <w:rFonts w:asciiTheme="minorHAnsi" w:hAnsiTheme="minorHAnsi"/>
          <w:lang w:val="en-NZ"/>
        </w:rPr>
        <w:t xml:space="preserve">found </w:t>
      </w:r>
      <w:r w:rsidR="00F07F89">
        <w:rPr>
          <w:rFonts w:asciiTheme="minorHAnsi" w:hAnsiTheme="minorHAnsi"/>
          <w:lang w:val="en-NZ"/>
        </w:rPr>
        <w:t>by considering recommended</w:t>
      </w:r>
      <w:r w:rsidR="002D1899" w:rsidRPr="000D1385">
        <w:rPr>
          <w:rFonts w:asciiTheme="minorHAnsi" w:hAnsiTheme="minorHAnsi"/>
          <w:lang w:val="en-NZ"/>
        </w:rPr>
        <w:t xml:space="preserve"> practices </w:t>
      </w:r>
      <w:r w:rsidR="00387A11" w:rsidRPr="000D1385">
        <w:rPr>
          <w:rFonts w:asciiTheme="minorHAnsi" w:hAnsiTheme="minorHAnsi"/>
          <w:lang w:val="en-NZ"/>
        </w:rPr>
        <w:t>with</w:t>
      </w:r>
      <w:r w:rsidR="002D1899" w:rsidRPr="000D1385">
        <w:rPr>
          <w:rFonts w:asciiTheme="minorHAnsi" w:hAnsiTheme="minorHAnsi"/>
          <w:lang w:val="en-NZ"/>
        </w:rPr>
        <w:t xml:space="preserve"> both N and P mitigation benefits. </w:t>
      </w:r>
      <w:r w:rsidR="00387A11" w:rsidRPr="000D1385">
        <w:rPr>
          <w:rFonts w:asciiTheme="minorHAnsi" w:hAnsiTheme="minorHAnsi"/>
          <w:lang w:val="en-NZ"/>
        </w:rPr>
        <w:t xml:space="preserve">The B&amp;LNZ </w:t>
      </w:r>
      <w:hyperlink r:id="rId18" w:history="1">
        <w:r w:rsidR="00387A11" w:rsidRPr="000D1385">
          <w:rPr>
            <w:rStyle w:val="Hyperlink"/>
            <w:rFonts w:asciiTheme="minorHAnsi" w:hAnsiTheme="minorHAnsi"/>
            <w:lang w:val="en-NZ"/>
          </w:rPr>
          <w:t>Menu of practices to improve water quality</w:t>
        </w:r>
      </w:hyperlink>
      <w:r w:rsidR="00387A11" w:rsidRPr="000D1385">
        <w:rPr>
          <w:rStyle w:val="Hyperlink"/>
          <w:rFonts w:asciiTheme="minorHAnsi" w:hAnsiTheme="minorHAnsi"/>
          <w:lang w:val="en-NZ"/>
        </w:rPr>
        <w:t xml:space="preserve"> </w:t>
      </w:r>
      <w:r w:rsidR="00387A11" w:rsidRPr="000D1385">
        <w:rPr>
          <w:rFonts w:asciiTheme="minorHAnsi" w:hAnsiTheme="minorHAnsi"/>
          <w:lang w:val="en-NZ"/>
        </w:rPr>
        <w:t>can be assessed in this way</w:t>
      </w:r>
      <w:r w:rsidR="004816F6" w:rsidRPr="000D1385">
        <w:rPr>
          <w:rFonts w:asciiTheme="minorHAnsi" w:hAnsiTheme="minorHAnsi"/>
          <w:lang w:val="en-NZ"/>
        </w:rPr>
        <w:t xml:space="preserve">. </w:t>
      </w:r>
      <w:r w:rsidR="00F07F89">
        <w:rPr>
          <w:rFonts w:asciiTheme="minorHAnsi" w:hAnsiTheme="minorHAnsi"/>
          <w:lang w:val="en-NZ"/>
        </w:rPr>
        <w:t>B&amp;LNZ rates each</w:t>
      </w:r>
      <w:r w:rsidR="004816F6" w:rsidRPr="000D1385">
        <w:rPr>
          <w:rFonts w:asciiTheme="minorHAnsi" w:hAnsiTheme="minorHAnsi"/>
          <w:lang w:val="en-NZ"/>
        </w:rPr>
        <w:t xml:space="preserve"> practice </w:t>
      </w:r>
      <w:r w:rsidR="00F07F89">
        <w:rPr>
          <w:rFonts w:asciiTheme="minorHAnsi" w:hAnsiTheme="minorHAnsi"/>
          <w:lang w:val="en-NZ"/>
        </w:rPr>
        <w:t>as</w:t>
      </w:r>
      <w:r w:rsidR="004816F6" w:rsidRPr="000D1385">
        <w:rPr>
          <w:rFonts w:asciiTheme="minorHAnsi" w:hAnsiTheme="minorHAnsi"/>
          <w:lang w:val="en-NZ"/>
        </w:rPr>
        <w:t xml:space="preserve"> low, medium o</w:t>
      </w:r>
      <w:r w:rsidR="00F07F89">
        <w:rPr>
          <w:rFonts w:asciiTheme="minorHAnsi" w:hAnsiTheme="minorHAnsi"/>
          <w:lang w:val="en-NZ"/>
        </w:rPr>
        <w:t>r</w:t>
      </w:r>
      <w:r w:rsidR="004816F6" w:rsidRPr="000D1385">
        <w:rPr>
          <w:rFonts w:asciiTheme="minorHAnsi" w:hAnsiTheme="minorHAnsi"/>
          <w:lang w:val="en-NZ"/>
        </w:rPr>
        <w:t xml:space="preserve"> high for N and/or P reduction efficacy</w:t>
      </w:r>
      <w:r w:rsidR="00F07F89">
        <w:rPr>
          <w:rFonts w:asciiTheme="minorHAnsi" w:hAnsiTheme="minorHAnsi"/>
          <w:lang w:val="en-NZ"/>
        </w:rPr>
        <w:t>,</w:t>
      </w:r>
      <w:r w:rsidR="004816F6" w:rsidRPr="000D1385">
        <w:rPr>
          <w:rFonts w:asciiTheme="minorHAnsi" w:hAnsiTheme="minorHAnsi"/>
          <w:lang w:val="en-NZ"/>
        </w:rPr>
        <w:t xml:space="preserve"> in terms of likely water quality benefits. </w:t>
      </w:r>
      <w:r w:rsidR="003659B7" w:rsidRPr="000D1385">
        <w:rPr>
          <w:rFonts w:asciiTheme="minorHAnsi" w:hAnsiTheme="minorHAnsi"/>
          <w:lang w:val="en-NZ"/>
        </w:rPr>
        <w:t xml:space="preserve">In broad terms, the ratings correspond to </w:t>
      </w:r>
      <w:r w:rsidR="00CE0356" w:rsidRPr="000D1385">
        <w:rPr>
          <w:rFonts w:asciiTheme="minorHAnsi" w:hAnsiTheme="minorHAnsi"/>
          <w:lang w:val="en-NZ"/>
        </w:rPr>
        <w:t xml:space="preserve">these </w:t>
      </w:r>
      <w:r w:rsidR="003659B7" w:rsidRPr="000D1385">
        <w:rPr>
          <w:rFonts w:asciiTheme="minorHAnsi" w:hAnsiTheme="minorHAnsi"/>
          <w:lang w:val="en-NZ"/>
        </w:rPr>
        <w:t xml:space="preserve">estimated % reductions </w:t>
      </w:r>
      <w:r w:rsidR="00CE0356" w:rsidRPr="000D1385">
        <w:rPr>
          <w:rFonts w:asciiTheme="minorHAnsi" w:hAnsiTheme="minorHAnsi"/>
          <w:lang w:val="en-NZ"/>
        </w:rPr>
        <w:t>(at whole farm scale)</w:t>
      </w:r>
      <w:r w:rsidR="003659B7" w:rsidRPr="000D1385">
        <w:rPr>
          <w:rFonts w:asciiTheme="minorHAnsi" w:hAnsiTheme="minorHAnsi"/>
          <w:lang w:val="en-NZ"/>
        </w:rPr>
        <w:t>:</w:t>
      </w:r>
    </w:p>
    <w:p w14:paraId="7B12E909" w14:textId="61F0A150" w:rsidR="00CE0356" w:rsidRPr="00C36EB0" w:rsidRDefault="003659B7" w:rsidP="00F02E9C">
      <w:pPr>
        <w:numPr>
          <w:ilvl w:val="0"/>
          <w:numId w:val="10"/>
        </w:numPr>
        <w:spacing w:before="60" w:after="60"/>
        <w:rPr>
          <w:rFonts w:asciiTheme="minorHAnsi" w:hAnsiTheme="minorHAnsi"/>
          <w:lang w:val="en-NZ"/>
        </w:rPr>
      </w:pPr>
      <w:r w:rsidRPr="00C36EB0">
        <w:rPr>
          <w:rFonts w:asciiTheme="minorHAnsi" w:hAnsiTheme="minorHAnsi"/>
          <w:lang w:val="en-NZ"/>
        </w:rPr>
        <w:t>Low = &lt;10% for N, &lt;20% for P</w:t>
      </w:r>
      <w:r w:rsidR="00C36EB0" w:rsidRPr="00C36EB0">
        <w:rPr>
          <w:rFonts w:asciiTheme="minorHAnsi" w:hAnsiTheme="minorHAnsi"/>
          <w:lang w:val="en-NZ"/>
        </w:rPr>
        <w:t xml:space="preserve">; </w:t>
      </w:r>
      <w:r w:rsidRPr="00C36EB0">
        <w:rPr>
          <w:rFonts w:asciiTheme="minorHAnsi" w:hAnsiTheme="minorHAnsi"/>
          <w:lang w:val="en-NZ"/>
        </w:rPr>
        <w:t xml:space="preserve">Medium = 10-25% for N, 20-50% for </w:t>
      </w:r>
      <w:r w:rsidR="00CE0356" w:rsidRPr="00C36EB0">
        <w:rPr>
          <w:rFonts w:asciiTheme="minorHAnsi" w:hAnsiTheme="minorHAnsi"/>
          <w:lang w:val="en-NZ"/>
        </w:rPr>
        <w:t>P</w:t>
      </w:r>
      <w:r w:rsidR="00C36EB0" w:rsidRPr="00C36EB0">
        <w:rPr>
          <w:rFonts w:asciiTheme="minorHAnsi" w:hAnsiTheme="minorHAnsi"/>
          <w:lang w:val="en-NZ"/>
        </w:rPr>
        <w:t xml:space="preserve">; </w:t>
      </w:r>
      <w:r w:rsidR="00CE0356" w:rsidRPr="00C36EB0">
        <w:rPr>
          <w:rFonts w:asciiTheme="minorHAnsi" w:hAnsiTheme="minorHAnsi"/>
          <w:lang w:val="en-NZ"/>
        </w:rPr>
        <w:t>High = &gt;25% for N, &gt;50% for P</w:t>
      </w:r>
    </w:p>
    <w:p w14:paraId="1F82FC73" w14:textId="0A1F9DD1" w:rsidR="00084BBB" w:rsidRPr="000D1385" w:rsidRDefault="004816F6" w:rsidP="006B7031">
      <w:pPr>
        <w:spacing w:before="60" w:after="60"/>
        <w:rPr>
          <w:rFonts w:asciiTheme="minorHAnsi" w:hAnsiTheme="minorHAnsi"/>
          <w:lang w:val="en-NZ"/>
        </w:rPr>
      </w:pPr>
      <w:r w:rsidRPr="000D1385">
        <w:rPr>
          <w:rFonts w:asciiTheme="minorHAnsi" w:hAnsiTheme="minorHAnsi"/>
          <w:lang w:val="en-NZ"/>
        </w:rPr>
        <w:t>A review of the</w:t>
      </w:r>
      <w:r w:rsidR="00CE0356" w:rsidRPr="000D1385">
        <w:rPr>
          <w:rFonts w:asciiTheme="minorHAnsi" w:hAnsiTheme="minorHAnsi"/>
          <w:lang w:val="en-NZ"/>
        </w:rPr>
        <w:t xml:space="preserve"> B&amp;LNZ </w:t>
      </w:r>
      <w:r w:rsidR="00E369FC" w:rsidRPr="000D1385">
        <w:rPr>
          <w:rFonts w:asciiTheme="minorHAnsi" w:hAnsiTheme="minorHAnsi"/>
          <w:lang w:val="en-NZ"/>
        </w:rPr>
        <w:t>‘</w:t>
      </w:r>
      <w:r w:rsidR="00CE0356" w:rsidRPr="000D1385">
        <w:rPr>
          <w:rFonts w:asciiTheme="minorHAnsi" w:hAnsiTheme="minorHAnsi"/>
          <w:lang w:val="en-NZ"/>
        </w:rPr>
        <w:t>menu</w:t>
      </w:r>
      <w:r w:rsidR="00E369FC" w:rsidRPr="000D1385">
        <w:rPr>
          <w:rFonts w:asciiTheme="minorHAnsi" w:hAnsiTheme="minorHAnsi"/>
          <w:lang w:val="en-NZ"/>
        </w:rPr>
        <w:t>’</w:t>
      </w:r>
      <w:r w:rsidRPr="000D1385">
        <w:rPr>
          <w:rFonts w:asciiTheme="minorHAnsi" w:hAnsiTheme="minorHAnsi"/>
          <w:lang w:val="en-NZ"/>
        </w:rPr>
        <w:t xml:space="preserve"> practices indicates that:</w:t>
      </w:r>
    </w:p>
    <w:p w14:paraId="7F1B9D1E" w14:textId="77777777" w:rsidR="00144673" w:rsidRPr="002A0772" w:rsidRDefault="003659B7" w:rsidP="0035664E">
      <w:pPr>
        <w:numPr>
          <w:ilvl w:val="0"/>
          <w:numId w:val="9"/>
        </w:numPr>
        <w:spacing w:before="60" w:after="60"/>
        <w:rPr>
          <w:rFonts w:asciiTheme="minorHAnsi" w:hAnsiTheme="minorHAnsi"/>
          <w:lang w:val="en-NZ"/>
        </w:rPr>
      </w:pPr>
      <w:r w:rsidRPr="002A0772">
        <w:rPr>
          <w:rFonts w:asciiTheme="minorHAnsi" w:hAnsiTheme="minorHAnsi"/>
          <w:lang w:val="en-NZ"/>
        </w:rPr>
        <w:t>There are</w:t>
      </w:r>
      <w:r w:rsidR="004816F6" w:rsidRPr="002A0772">
        <w:rPr>
          <w:rFonts w:asciiTheme="minorHAnsi" w:hAnsiTheme="minorHAnsi"/>
          <w:lang w:val="en-NZ"/>
        </w:rPr>
        <w:t xml:space="preserve"> </w:t>
      </w:r>
      <w:r w:rsidRPr="002A0772">
        <w:rPr>
          <w:rFonts w:asciiTheme="minorHAnsi" w:hAnsiTheme="minorHAnsi"/>
          <w:lang w:val="en-NZ"/>
        </w:rPr>
        <w:t xml:space="preserve">37 </w:t>
      </w:r>
      <w:r w:rsidR="00144673" w:rsidRPr="002A0772">
        <w:rPr>
          <w:rFonts w:asciiTheme="minorHAnsi" w:hAnsiTheme="minorHAnsi"/>
          <w:lang w:val="en-NZ"/>
        </w:rPr>
        <w:t xml:space="preserve">listed </w:t>
      </w:r>
      <w:r w:rsidRPr="002A0772">
        <w:rPr>
          <w:rFonts w:asciiTheme="minorHAnsi" w:hAnsiTheme="minorHAnsi"/>
          <w:lang w:val="en-NZ"/>
        </w:rPr>
        <w:t>pr</w:t>
      </w:r>
      <w:r w:rsidR="004816F6" w:rsidRPr="002A0772">
        <w:rPr>
          <w:rFonts w:asciiTheme="minorHAnsi" w:hAnsiTheme="minorHAnsi"/>
          <w:lang w:val="en-NZ"/>
        </w:rPr>
        <w:t>actices</w:t>
      </w:r>
      <w:r w:rsidRPr="002A0772">
        <w:rPr>
          <w:rFonts w:asciiTheme="minorHAnsi" w:hAnsiTheme="minorHAnsi"/>
          <w:lang w:val="en-NZ"/>
        </w:rPr>
        <w:t xml:space="preserve"> with at least a low rating for N or P benefit, including seven relevant to cropping management</w:t>
      </w:r>
      <w:r w:rsidR="002A0772" w:rsidRPr="002A0772">
        <w:rPr>
          <w:rFonts w:asciiTheme="minorHAnsi" w:hAnsiTheme="minorHAnsi"/>
          <w:lang w:val="en-NZ"/>
        </w:rPr>
        <w:t xml:space="preserve">. </w:t>
      </w:r>
      <w:r w:rsidR="00144673" w:rsidRPr="002A0772">
        <w:rPr>
          <w:rFonts w:asciiTheme="minorHAnsi" w:hAnsiTheme="minorHAnsi"/>
          <w:lang w:val="en-NZ"/>
        </w:rPr>
        <w:t xml:space="preserve">Of these 37 practices, 30 have at least </w:t>
      </w:r>
      <w:r w:rsidR="00144673" w:rsidRPr="002A0772">
        <w:rPr>
          <w:rFonts w:asciiTheme="minorHAnsi" w:hAnsiTheme="minorHAnsi"/>
          <w:u w:val="single"/>
          <w:lang w:val="en-NZ"/>
        </w:rPr>
        <w:t>some</w:t>
      </w:r>
      <w:r w:rsidR="00144673" w:rsidRPr="002A0772">
        <w:rPr>
          <w:rFonts w:asciiTheme="minorHAnsi" w:hAnsiTheme="minorHAnsi"/>
          <w:lang w:val="en-NZ"/>
        </w:rPr>
        <w:t xml:space="preserve"> N and P co-benefit</w:t>
      </w:r>
    </w:p>
    <w:p w14:paraId="616783D4" w14:textId="2208713E" w:rsidR="00D253F3" w:rsidRPr="000D1385" w:rsidRDefault="003659B7" w:rsidP="00C66C2C">
      <w:pPr>
        <w:numPr>
          <w:ilvl w:val="0"/>
          <w:numId w:val="9"/>
        </w:numPr>
        <w:spacing w:before="60" w:after="60"/>
        <w:rPr>
          <w:rFonts w:asciiTheme="minorHAnsi" w:hAnsiTheme="minorHAnsi"/>
          <w:lang w:val="en-NZ"/>
        </w:rPr>
      </w:pPr>
      <w:r w:rsidRPr="000D1385">
        <w:rPr>
          <w:rFonts w:asciiTheme="minorHAnsi" w:hAnsiTheme="minorHAnsi"/>
          <w:lang w:val="en-NZ"/>
        </w:rPr>
        <w:t xml:space="preserve">Of </w:t>
      </w:r>
      <w:r w:rsidR="00D253F3" w:rsidRPr="000D1385">
        <w:rPr>
          <w:rFonts w:asciiTheme="minorHAnsi" w:hAnsiTheme="minorHAnsi"/>
          <w:lang w:val="en-NZ"/>
        </w:rPr>
        <w:t>9</w:t>
      </w:r>
      <w:r w:rsidRPr="000D1385">
        <w:rPr>
          <w:rFonts w:asciiTheme="minorHAnsi" w:hAnsiTheme="minorHAnsi"/>
          <w:lang w:val="en-NZ"/>
        </w:rPr>
        <w:t xml:space="preserve"> practices with at least medium </w:t>
      </w:r>
      <w:r w:rsidR="00BA7DB6">
        <w:rPr>
          <w:rFonts w:asciiTheme="minorHAnsi" w:hAnsiTheme="minorHAnsi"/>
          <w:lang w:val="en-NZ"/>
        </w:rPr>
        <w:t xml:space="preserve">N </w:t>
      </w:r>
      <w:r w:rsidRPr="000D1385">
        <w:rPr>
          <w:rFonts w:asciiTheme="minorHAnsi" w:hAnsiTheme="minorHAnsi"/>
          <w:lang w:val="en-NZ"/>
        </w:rPr>
        <w:t>rating</w:t>
      </w:r>
      <w:r w:rsidR="00144673" w:rsidRPr="000D1385">
        <w:rPr>
          <w:rFonts w:asciiTheme="minorHAnsi" w:hAnsiTheme="minorHAnsi"/>
          <w:lang w:val="en-NZ"/>
        </w:rPr>
        <w:t xml:space="preserve">, </w:t>
      </w:r>
      <w:r w:rsidR="00D253F3" w:rsidRPr="000D1385">
        <w:rPr>
          <w:rFonts w:asciiTheme="minorHAnsi" w:hAnsiTheme="minorHAnsi"/>
          <w:lang w:val="en-NZ"/>
        </w:rPr>
        <w:t>5</w:t>
      </w:r>
      <w:r w:rsidR="00144673" w:rsidRPr="000D1385">
        <w:rPr>
          <w:rFonts w:asciiTheme="minorHAnsi" w:hAnsiTheme="minorHAnsi"/>
          <w:lang w:val="en-NZ"/>
        </w:rPr>
        <w:t xml:space="preserve"> also had P benefit </w:t>
      </w:r>
      <w:r w:rsidR="00E369FC" w:rsidRPr="000D1385">
        <w:rPr>
          <w:rFonts w:asciiTheme="minorHAnsi" w:hAnsiTheme="minorHAnsi"/>
          <w:lang w:val="en-NZ"/>
        </w:rPr>
        <w:t>with</w:t>
      </w:r>
      <w:r w:rsidR="00144673" w:rsidRPr="000D1385">
        <w:rPr>
          <w:rFonts w:asciiTheme="minorHAnsi" w:hAnsiTheme="minorHAnsi"/>
          <w:lang w:val="en-NZ"/>
        </w:rPr>
        <w:t xml:space="preserve"> at least medium rating</w:t>
      </w:r>
    </w:p>
    <w:p w14:paraId="5B3946A3" w14:textId="77777777" w:rsidR="003659B7" w:rsidRPr="000D1385" w:rsidRDefault="00D253F3" w:rsidP="00C66C2C">
      <w:pPr>
        <w:numPr>
          <w:ilvl w:val="0"/>
          <w:numId w:val="9"/>
        </w:numPr>
        <w:spacing w:before="60" w:after="60"/>
        <w:rPr>
          <w:rFonts w:asciiTheme="minorHAnsi" w:hAnsiTheme="minorHAnsi"/>
          <w:lang w:val="en-NZ"/>
        </w:rPr>
      </w:pPr>
      <w:r w:rsidRPr="000D1385">
        <w:rPr>
          <w:rFonts w:asciiTheme="minorHAnsi" w:hAnsiTheme="minorHAnsi"/>
          <w:lang w:val="en-NZ"/>
        </w:rPr>
        <w:t xml:space="preserve">Conversely, of the 30 practices with at least a medium rating for P benefit, </w:t>
      </w:r>
      <w:r w:rsidR="00185BAE" w:rsidRPr="000D1385">
        <w:rPr>
          <w:rFonts w:asciiTheme="minorHAnsi" w:hAnsiTheme="minorHAnsi"/>
          <w:lang w:val="en-NZ"/>
        </w:rPr>
        <w:t xml:space="preserve">only </w:t>
      </w:r>
      <w:r w:rsidRPr="000D1385">
        <w:rPr>
          <w:rFonts w:asciiTheme="minorHAnsi" w:hAnsiTheme="minorHAnsi"/>
          <w:lang w:val="en-NZ"/>
        </w:rPr>
        <w:t xml:space="preserve">5 </w:t>
      </w:r>
      <w:r w:rsidR="00E369FC" w:rsidRPr="000D1385">
        <w:rPr>
          <w:rFonts w:asciiTheme="minorHAnsi" w:hAnsiTheme="minorHAnsi"/>
          <w:lang w:val="en-NZ"/>
        </w:rPr>
        <w:t xml:space="preserve">also had N benefit with at least a medium rating (the same </w:t>
      </w:r>
      <w:r w:rsidR="00185BAE" w:rsidRPr="000D1385">
        <w:rPr>
          <w:rFonts w:asciiTheme="minorHAnsi" w:hAnsiTheme="minorHAnsi"/>
          <w:lang w:val="en-NZ"/>
        </w:rPr>
        <w:t>5</w:t>
      </w:r>
      <w:r w:rsidR="00E369FC" w:rsidRPr="000D1385">
        <w:rPr>
          <w:rFonts w:asciiTheme="minorHAnsi" w:hAnsiTheme="minorHAnsi"/>
          <w:lang w:val="en-NZ"/>
        </w:rPr>
        <w:t xml:space="preserve"> </w:t>
      </w:r>
      <w:r w:rsidR="00185BAE" w:rsidRPr="000D1385">
        <w:rPr>
          <w:rFonts w:asciiTheme="minorHAnsi" w:hAnsiTheme="minorHAnsi"/>
          <w:lang w:val="en-NZ"/>
        </w:rPr>
        <w:t xml:space="preserve">practices </w:t>
      </w:r>
      <w:r w:rsidR="00E369FC" w:rsidRPr="000D1385">
        <w:rPr>
          <w:rFonts w:asciiTheme="minorHAnsi" w:hAnsiTheme="minorHAnsi"/>
          <w:lang w:val="en-NZ"/>
        </w:rPr>
        <w:t>as noted in the previous bullet</w:t>
      </w:r>
      <w:r w:rsidR="00144673" w:rsidRPr="000D1385">
        <w:rPr>
          <w:rFonts w:asciiTheme="minorHAnsi" w:hAnsiTheme="minorHAnsi"/>
          <w:lang w:val="en-NZ"/>
        </w:rPr>
        <w:t>)</w:t>
      </w:r>
    </w:p>
    <w:p w14:paraId="3F57C743" w14:textId="79F615BE" w:rsidR="00BD7DA2" w:rsidRDefault="00BD7DA2" w:rsidP="00C66C2C">
      <w:pPr>
        <w:numPr>
          <w:ilvl w:val="0"/>
          <w:numId w:val="9"/>
        </w:numPr>
        <w:spacing w:before="60" w:after="60"/>
        <w:rPr>
          <w:rFonts w:asciiTheme="minorHAnsi" w:hAnsiTheme="minorHAnsi"/>
          <w:lang w:val="en-NZ"/>
        </w:rPr>
      </w:pPr>
      <w:r w:rsidRPr="000D1385">
        <w:rPr>
          <w:rFonts w:asciiTheme="minorHAnsi" w:hAnsiTheme="minorHAnsi"/>
          <w:lang w:val="en-NZ"/>
        </w:rPr>
        <w:t xml:space="preserve">The </w:t>
      </w:r>
      <w:r w:rsidR="00185BAE" w:rsidRPr="000D1385">
        <w:rPr>
          <w:rFonts w:asciiTheme="minorHAnsi" w:hAnsiTheme="minorHAnsi"/>
          <w:lang w:val="en-NZ"/>
        </w:rPr>
        <w:t>initial rows in the</w:t>
      </w:r>
      <w:r w:rsidRPr="000D1385">
        <w:rPr>
          <w:rFonts w:asciiTheme="minorHAnsi" w:hAnsiTheme="minorHAnsi"/>
          <w:lang w:val="en-NZ"/>
        </w:rPr>
        <w:t xml:space="preserve"> B&amp;LNZ practices table </w:t>
      </w:r>
      <w:r w:rsidR="00185BAE" w:rsidRPr="000D1385">
        <w:rPr>
          <w:rFonts w:asciiTheme="minorHAnsi" w:hAnsiTheme="minorHAnsi"/>
          <w:lang w:val="en-NZ"/>
        </w:rPr>
        <w:t xml:space="preserve">cover </w:t>
      </w:r>
      <w:r w:rsidRPr="000D1385">
        <w:rPr>
          <w:rFonts w:asciiTheme="minorHAnsi" w:hAnsiTheme="minorHAnsi"/>
          <w:lang w:val="en-NZ"/>
        </w:rPr>
        <w:t xml:space="preserve">whole farm planning and nutrient budgeting. Due to the variable and farm-specific N and P benefits that may accrue from such </w:t>
      </w:r>
      <w:r w:rsidRPr="000D1385">
        <w:rPr>
          <w:rFonts w:asciiTheme="minorHAnsi" w:hAnsiTheme="minorHAnsi"/>
          <w:lang w:val="en-NZ"/>
        </w:rPr>
        <w:lastRenderedPageBreak/>
        <w:t xml:space="preserve">planning/budgeting, the low/medium/high ratings are not given in the way they are for the individual practices in the balance of the table. </w:t>
      </w:r>
    </w:p>
    <w:p w14:paraId="70AD0A6A" w14:textId="45A65E94" w:rsidR="000D5F90" w:rsidRPr="000D1385" w:rsidRDefault="000D5F90" w:rsidP="00FD10D1">
      <w:pPr>
        <w:spacing w:before="60" w:after="60"/>
        <w:rPr>
          <w:rFonts w:asciiTheme="minorHAnsi" w:hAnsiTheme="minorHAnsi"/>
          <w:lang w:val="en-NZ"/>
        </w:rPr>
      </w:pPr>
      <w:r>
        <w:rPr>
          <w:rFonts w:asciiTheme="minorHAnsi" w:hAnsiTheme="minorHAnsi"/>
          <w:lang w:val="en-NZ"/>
        </w:rPr>
        <w:t xml:space="preserve">The B&amp;LNZ practices with </w:t>
      </w:r>
      <w:r w:rsidR="00C36EB0">
        <w:rPr>
          <w:rFonts w:asciiTheme="minorHAnsi" w:hAnsiTheme="minorHAnsi"/>
          <w:lang w:val="en-NZ"/>
        </w:rPr>
        <w:t xml:space="preserve">high </w:t>
      </w:r>
      <w:r>
        <w:rPr>
          <w:rFonts w:asciiTheme="minorHAnsi" w:hAnsiTheme="minorHAnsi"/>
          <w:lang w:val="en-NZ"/>
        </w:rPr>
        <w:t>rat</w:t>
      </w:r>
      <w:r w:rsidR="00C36EB0">
        <w:rPr>
          <w:rFonts w:asciiTheme="minorHAnsi" w:hAnsiTheme="minorHAnsi"/>
          <w:lang w:val="en-NZ"/>
        </w:rPr>
        <w:t>ings</w:t>
      </w:r>
      <w:r>
        <w:rPr>
          <w:rFonts w:asciiTheme="minorHAnsi" w:hAnsiTheme="minorHAnsi"/>
          <w:lang w:val="en-NZ"/>
        </w:rPr>
        <w:t xml:space="preserve"> for either N or P are summarised in Appendix 2.</w:t>
      </w:r>
    </w:p>
    <w:p w14:paraId="25842C55" w14:textId="77777777" w:rsidR="00387A11" w:rsidRPr="00521F05" w:rsidRDefault="00185BAE" w:rsidP="00521F05">
      <w:pPr>
        <w:numPr>
          <w:ilvl w:val="1"/>
          <w:numId w:val="3"/>
        </w:numPr>
        <w:spacing w:before="240" w:after="60" w:line="264" w:lineRule="auto"/>
        <w:rPr>
          <w:rFonts w:asciiTheme="minorHAnsi" w:hAnsiTheme="minorHAnsi" w:cs="Calibri"/>
          <w:b/>
          <w:sz w:val="24"/>
          <w:szCs w:val="24"/>
          <w:lang w:val="en-NZ"/>
        </w:rPr>
      </w:pPr>
      <w:r w:rsidRPr="00521F05">
        <w:rPr>
          <w:rFonts w:asciiTheme="minorHAnsi" w:hAnsiTheme="minorHAnsi" w:cs="Calibri"/>
          <w:b/>
          <w:sz w:val="24"/>
          <w:szCs w:val="24"/>
          <w:lang w:val="en-NZ"/>
        </w:rPr>
        <w:t xml:space="preserve">Keep </w:t>
      </w:r>
      <w:r w:rsidR="00387A11" w:rsidRPr="00521F05">
        <w:rPr>
          <w:rFonts w:asciiTheme="minorHAnsi" w:hAnsiTheme="minorHAnsi" w:cs="Calibri"/>
          <w:b/>
          <w:sz w:val="24"/>
          <w:szCs w:val="24"/>
          <w:lang w:val="en-NZ"/>
        </w:rPr>
        <w:t>Olsen P</w:t>
      </w:r>
      <w:r w:rsidRPr="00521F05">
        <w:rPr>
          <w:rFonts w:asciiTheme="minorHAnsi" w:hAnsiTheme="minorHAnsi" w:cs="Calibri"/>
          <w:b/>
          <w:sz w:val="24"/>
          <w:szCs w:val="24"/>
          <w:lang w:val="en-NZ"/>
        </w:rPr>
        <w:t xml:space="preserve"> at the agronomic optimum</w:t>
      </w:r>
    </w:p>
    <w:p w14:paraId="5AA58E4C" w14:textId="36A85CDD" w:rsidR="00571C5C" w:rsidRPr="000D1385" w:rsidRDefault="003A4AE4" w:rsidP="009A0014">
      <w:pPr>
        <w:spacing w:before="60" w:after="60"/>
        <w:rPr>
          <w:rFonts w:asciiTheme="minorHAnsi" w:hAnsiTheme="minorHAnsi"/>
          <w:lang w:val="en-NZ"/>
        </w:rPr>
      </w:pPr>
      <w:r w:rsidRPr="000D1385">
        <w:rPr>
          <w:rFonts w:asciiTheme="minorHAnsi" w:hAnsiTheme="minorHAnsi"/>
          <w:lang w:val="en-NZ"/>
        </w:rPr>
        <w:t xml:space="preserve">The Olsen P soil test is a measure of plant-available P. The </w:t>
      </w:r>
      <w:r w:rsidR="00185BAE" w:rsidRPr="000D1385">
        <w:rPr>
          <w:rFonts w:asciiTheme="minorHAnsi" w:hAnsiTheme="minorHAnsi"/>
          <w:lang w:val="en-NZ"/>
        </w:rPr>
        <w:t xml:space="preserve">agronomic optimum </w:t>
      </w:r>
      <w:r w:rsidRPr="000D1385">
        <w:rPr>
          <w:rFonts w:asciiTheme="minorHAnsi" w:hAnsiTheme="minorHAnsi"/>
          <w:lang w:val="en-NZ"/>
        </w:rPr>
        <w:t xml:space="preserve">Olsen P level is where near-maximum (97%) pasture production can be achieved (provided other facto are not limiting growth). The agronomic optimum level varies across soil types and with farm type and intensity. </w:t>
      </w:r>
      <w:r w:rsidR="00C649B4" w:rsidRPr="000D1385">
        <w:rPr>
          <w:rFonts w:asciiTheme="minorHAnsi" w:hAnsiTheme="minorHAnsi"/>
          <w:lang w:val="en-NZ"/>
        </w:rPr>
        <w:t xml:space="preserve">Olsen P units are mgP/L of soil, or </w:t>
      </w:r>
      <w:r w:rsidR="00C649B4" w:rsidRPr="000D1385">
        <w:rPr>
          <w:rFonts w:asciiTheme="minorHAnsi" w:hAnsiTheme="minorHAnsi" w:cstheme="minorHAnsi"/>
          <w:lang w:val="en-NZ"/>
        </w:rPr>
        <w:t>µ</w:t>
      </w:r>
      <w:r w:rsidR="00C649B4" w:rsidRPr="000D1385">
        <w:rPr>
          <w:rFonts w:asciiTheme="minorHAnsi" w:hAnsiTheme="minorHAnsi"/>
          <w:lang w:val="en-NZ"/>
        </w:rPr>
        <w:t>g P/cm</w:t>
      </w:r>
      <w:r w:rsidR="00C649B4" w:rsidRPr="000D1385">
        <w:rPr>
          <w:rFonts w:asciiTheme="minorHAnsi" w:hAnsiTheme="minorHAnsi"/>
          <w:vertAlign w:val="superscript"/>
          <w:lang w:val="en-NZ"/>
        </w:rPr>
        <w:t>3</w:t>
      </w:r>
      <w:r w:rsidR="00C649B4" w:rsidRPr="000D1385">
        <w:rPr>
          <w:rFonts w:asciiTheme="minorHAnsi" w:hAnsiTheme="minorHAnsi"/>
          <w:lang w:val="en-NZ"/>
        </w:rPr>
        <w:t xml:space="preserve"> of soil. </w:t>
      </w:r>
      <w:r w:rsidRPr="000D1385">
        <w:rPr>
          <w:rFonts w:asciiTheme="minorHAnsi" w:hAnsiTheme="minorHAnsi"/>
          <w:lang w:val="en-NZ"/>
        </w:rPr>
        <w:t xml:space="preserve">For pumice soils, the </w:t>
      </w:r>
      <w:r w:rsidR="009A0014" w:rsidRPr="000D1385">
        <w:rPr>
          <w:rFonts w:asciiTheme="minorHAnsi" w:hAnsiTheme="minorHAnsi"/>
          <w:lang w:val="en-NZ"/>
        </w:rPr>
        <w:t xml:space="preserve">optimum </w:t>
      </w:r>
      <w:r w:rsidR="00C649B4" w:rsidRPr="000D1385">
        <w:rPr>
          <w:rFonts w:asciiTheme="minorHAnsi" w:hAnsiTheme="minorHAnsi"/>
          <w:lang w:val="en-NZ"/>
        </w:rPr>
        <w:t xml:space="preserve">Olsen P </w:t>
      </w:r>
      <w:r w:rsidRPr="000D1385">
        <w:rPr>
          <w:rFonts w:asciiTheme="minorHAnsi" w:hAnsiTheme="minorHAnsi"/>
          <w:lang w:val="en-NZ"/>
        </w:rPr>
        <w:t>level</w:t>
      </w:r>
      <w:r w:rsidR="00C649B4" w:rsidRPr="000D1385">
        <w:rPr>
          <w:rStyle w:val="FootnoteReference"/>
          <w:rFonts w:asciiTheme="minorHAnsi" w:hAnsiTheme="minorHAnsi"/>
          <w:lang w:val="en-NZ"/>
        </w:rPr>
        <w:footnoteReference w:id="4"/>
      </w:r>
      <w:r w:rsidRPr="000D1385">
        <w:rPr>
          <w:rFonts w:asciiTheme="minorHAnsi" w:hAnsiTheme="minorHAnsi"/>
          <w:lang w:val="en-NZ"/>
        </w:rPr>
        <w:t xml:space="preserve"> is 35-45 units </w:t>
      </w:r>
      <w:r w:rsidR="00C649B4" w:rsidRPr="000D1385">
        <w:rPr>
          <w:rFonts w:asciiTheme="minorHAnsi" w:hAnsiTheme="minorHAnsi"/>
          <w:lang w:val="en-NZ"/>
        </w:rPr>
        <w:t>under dairy farming and</w:t>
      </w:r>
      <w:r w:rsidR="009A0014" w:rsidRPr="000D1385">
        <w:rPr>
          <w:rFonts w:asciiTheme="minorHAnsi" w:hAnsiTheme="minorHAnsi"/>
          <w:lang w:val="en-NZ"/>
        </w:rPr>
        <w:t xml:space="preserve"> 20-30 </w:t>
      </w:r>
      <w:r w:rsidR="00C649B4" w:rsidRPr="000D1385">
        <w:rPr>
          <w:rFonts w:asciiTheme="minorHAnsi" w:hAnsiTheme="minorHAnsi"/>
          <w:lang w:val="en-NZ"/>
        </w:rPr>
        <w:t xml:space="preserve">under drystock </w:t>
      </w:r>
      <w:r w:rsidR="009A0014" w:rsidRPr="000D1385">
        <w:rPr>
          <w:rFonts w:asciiTheme="minorHAnsi" w:hAnsiTheme="minorHAnsi"/>
          <w:lang w:val="en-NZ"/>
        </w:rPr>
        <w:t xml:space="preserve">(Fert Research 2012; </w:t>
      </w:r>
      <w:hyperlink r:id="rId19" w:history="1">
        <w:r w:rsidR="00A52A85" w:rsidRPr="000D1385">
          <w:rPr>
            <w:rStyle w:val="Hyperlink"/>
            <w:rFonts w:asciiTheme="minorHAnsi" w:hAnsiTheme="minorHAnsi"/>
            <w:lang w:val="en-NZ"/>
          </w:rPr>
          <w:t>DairyNZ Farm-fact 7-12</w:t>
        </w:r>
      </w:hyperlink>
      <w:r w:rsidR="00A52A85" w:rsidRPr="000D1385">
        <w:rPr>
          <w:rFonts w:asciiTheme="minorHAnsi" w:hAnsiTheme="minorHAnsi"/>
          <w:lang w:val="en-NZ"/>
        </w:rPr>
        <w:t>)</w:t>
      </w:r>
      <w:r w:rsidR="00571C5C" w:rsidRPr="000D1385">
        <w:rPr>
          <w:rFonts w:asciiTheme="minorHAnsi" w:hAnsiTheme="minorHAnsi"/>
          <w:lang w:val="en-NZ"/>
        </w:rPr>
        <w:t>. This matters because:</w:t>
      </w:r>
    </w:p>
    <w:p w14:paraId="1C50D626" w14:textId="77777777" w:rsidR="00571C5C" w:rsidRPr="000D1385" w:rsidRDefault="00571C5C" w:rsidP="00571C5C">
      <w:pPr>
        <w:spacing w:before="60" w:after="60"/>
        <w:ind w:left="720"/>
        <w:rPr>
          <w:rFonts w:asciiTheme="minorHAnsi" w:hAnsiTheme="minorHAnsi"/>
          <w:lang w:val="en-NZ"/>
        </w:rPr>
      </w:pPr>
      <w:r w:rsidRPr="000D1385">
        <w:rPr>
          <w:rFonts w:asciiTheme="minorHAnsi" w:hAnsiTheme="minorHAnsi"/>
          <w:lang w:val="en-NZ"/>
        </w:rPr>
        <w:t>It becomes wasteful to have higher than optimum levels in most situations because higher P applications are required to maintain higher Olsen P levels and there is no corresponding increase in pasture production. To have Olsen P levels above this range invites unnecessary environmental damage (</w:t>
      </w:r>
      <w:hyperlink r:id="rId20" w:history="1">
        <w:r w:rsidRPr="000D1385">
          <w:rPr>
            <w:rStyle w:val="Hyperlink"/>
            <w:rFonts w:asciiTheme="minorHAnsi" w:hAnsiTheme="minorHAnsi"/>
            <w:lang w:val="en-NZ"/>
          </w:rPr>
          <w:t>Efficient use of phosphorus, Waikato Regional Council, 2015</w:t>
        </w:r>
      </w:hyperlink>
      <w:r w:rsidRPr="000D1385">
        <w:rPr>
          <w:rFonts w:asciiTheme="minorHAnsi" w:hAnsiTheme="minorHAnsi"/>
          <w:lang w:val="en-NZ"/>
        </w:rPr>
        <w:t>)</w:t>
      </w:r>
      <w:r w:rsidRPr="000D1385">
        <w:rPr>
          <w:rStyle w:val="FootnoteReference"/>
          <w:rFonts w:asciiTheme="minorHAnsi" w:hAnsiTheme="minorHAnsi"/>
          <w:lang w:val="en-NZ"/>
        </w:rPr>
        <w:footnoteReference w:id="5"/>
      </w:r>
      <w:r w:rsidRPr="000D1385">
        <w:rPr>
          <w:rFonts w:asciiTheme="minorHAnsi" w:hAnsiTheme="minorHAnsi"/>
          <w:lang w:val="en-NZ"/>
        </w:rPr>
        <w:t>.</w:t>
      </w:r>
    </w:p>
    <w:p w14:paraId="64342FCB" w14:textId="77777777" w:rsidR="009B2F79" w:rsidRPr="000D1385" w:rsidRDefault="009B2F79" w:rsidP="009A0014">
      <w:pPr>
        <w:spacing w:before="60" w:after="60"/>
        <w:rPr>
          <w:rFonts w:asciiTheme="minorHAnsi" w:hAnsiTheme="minorHAnsi"/>
          <w:lang w:val="en-NZ"/>
        </w:rPr>
      </w:pPr>
      <w:r w:rsidRPr="000D1385">
        <w:rPr>
          <w:rFonts w:asciiTheme="minorHAnsi" w:hAnsiTheme="minorHAnsi"/>
          <w:lang w:val="en-NZ"/>
        </w:rPr>
        <w:t>Further, there is some evidence of elevated Olsen P levels on Rotorua farms, with Redding et al (2005</w:t>
      </w:r>
      <w:r w:rsidRPr="000D1385">
        <w:rPr>
          <w:rStyle w:val="FootnoteReference"/>
          <w:rFonts w:asciiTheme="minorHAnsi" w:hAnsiTheme="minorHAnsi"/>
          <w:lang w:val="en-NZ"/>
        </w:rPr>
        <w:footnoteReference w:id="6"/>
      </w:r>
      <w:r w:rsidRPr="000D1385">
        <w:rPr>
          <w:rFonts w:asciiTheme="minorHAnsi" w:hAnsiTheme="minorHAnsi"/>
          <w:lang w:val="en-NZ"/>
        </w:rPr>
        <w:t>) reporting that a majority of Rotorua dairy farms have levels in excess of the economic optimum.</w:t>
      </w:r>
    </w:p>
    <w:p w14:paraId="2B777C26" w14:textId="62572C14" w:rsidR="001E6774" w:rsidRPr="00C36EB0" w:rsidRDefault="0045686B" w:rsidP="00C36EB0">
      <w:pPr>
        <w:spacing w:before="60" w:after="60"/>
        <w:rPr>
          <w:rFonts w:asciiTheme="minorHAnsi" w:hAnsiTheme="minorHAnsi"/>
          <w:lang w:val="en-NZ"/>
        </w:rPr>
      </w:pPr>
      <w:r w:rsidRPr="000D1385">
        <w:rPr>
          <w:rFonts w:asciiTheme="minorHAnsi" w:hAnsiTheme="minorHAnsi"/>
          <w:lang w:val="en-NZ"/>
        </w:rPr>
        <w:t>The relationship between soil Olsen P levels and P runoff is incorporated into the OVERSEER P runoff sub-model (</w:t>
      </w:r>
      <w:hyperlink r:id="rId21" w:history="1">
        <w:r w:rsidRPr="000D1385">
          <w:rPr>
            <w:rStyle w:val="Hyperlink"/>
            <w:rFonts w:asciiTheme="minorHAnsi" w:hAnsiTheme="minorHAnsi"/>
            <w:lang w:val="en-NZ"/>
          </w:rPr>
          <w:t>McDowell et al, 2005</w:t>
        </w:r>
      </w:hyperlink>
      <w:r w:rsidRPr="000D1385">
        <w:rPr>
          <w:rFonts w:asciiTheme="minorHAnsi" w:hAnsiTheme="minorHAnsi"/>
          <w:lang w:val="en-NZ"/>
        </w:rPr>
        <w:t xml:space="preserve">). A review of the OVERSEER </w:t>
      </w:r>
      <w:r w:rsidR="00BA7DB6">
        <w:rPr>
          <w:rFonts w:asciiTheme="minorHAnsi" w:hAnsiTheme="minorHAnsi"/>
          <w:lang w:val="en-NZ"/>
        </w:rPr>
        <w:t xml:space="preserve">P </w:t>
      </w:r>
      <w:r w:rsidRPr="000D1385">
        <w:rPr>
          <w:rFonts w:asciiTheme="minorHAnsi" w:hAnsiTheme="minorHAnsi"/>
          <w:lang w:val="en-NZ"/>
        </w:rPr>
        <w:t>model (</w:t>
      </w:r>
      <w:hyperlink r:id="rId22" w:history="1">
        <w:r w:rsidRPr="000D1385">
          <w:rPr>
            <w:rStyle w:val="Hyperlink"/>
            <w:rFonts w:asciiTheme="minorHAnsi" w:hAnsiTheme="minorHAnsi"/>
            <w:lang w:val="en-NZ"/>
          </w:rPr>
          <w:t>Gray et al., 2016</w:t>
        </w:r>
      </w:hyperlink>
      <w:r w:rsidRPr="000D1385">
        <w:rPr>
          <w:rFonts w:asciiTheme="minorHAnsi" w:hAnsiTheme="minorHAnsi"/>
          <w:lang w:val="en-NZ"/>
        </w:rPr>
        <w:t xml:space="preserve">) found it could predict </w:t>
      </w:r>
      <w:r w:rsidR="0034593A" w:rsidRPr="000D1385">
        <w:rPr>
          <w:rFonts w:asciiTheme="minorHAnsi" w:hAnsiTheme="minorHAnsi"/>
          <w:lang w:val="en-NZ"/>
        </w:rPr>
        <w:t>pastoral P losses</w:t>
      </w:r>
      <w:r w:rsidR="009A6DD8">
        <w:rPr>
          <w:rFonts w:asciiTheme="minorHAnsi" w:hAnsiTheme="minorHAnsi"/>
          <w:lang w:val="en-NZ"/>
        </w:rPr>
        <w:t xml:space="preserve"> reasonably well</w:t>
      </w:r>
      <w:r w:rsidRPr="000D1385">
        <w:rPr>
          <w:rFonts w:asciiTheme="minorHAnsi" w:hAnsiTheme="minorHAnsi"/>
          <w:lang w:val="en-NZ"/>
        </w:rPr>
        <w:t xml:space="preserve">, although numerous recommendations for improvements were made. </w:t>
      </w:r>
    </w:p>
    <w:p w14:paraId="21E27DDF" w14:textId="77777777" w:rsidR="0034593A" w:rsidRPr="00521F05" w:rsidRDefault="0034593A" w:rsidP="00521F05">
      <w:pPr>
        <w:numPr>
          <w:ilvl w:val="1"/>
          <w:numId w:val="3"/>
        </w:numPr>
        <w:spacing w:before="240" w:after="60" w:line="264" w:lineRule="auto"/>
        <w:rPr>
          <w:rFonts w:asciiTheme="minorHAnsi" w:hAnsiTheme="minorHAnsi" w:cs="Calibri"/>
          <w:b/>
          <w:sz w:val="24"/>
          <w:szCs w:val="24"/>
          <w:lang w:val="en-NZ"/>
        </w:rPr>
      </w:pPr>
      <w:r w:rsidRPr="00521F05">
        <w:rPr>
          <w:rFonts w:asciiTheme="minorHAnsi" w:hAnsiTheme="minorHAnsi" w:cs="Calibri"/>
          <w:b/>
          <w:sz w:val="24"/>
          <w:szCs w:val="24"/>
          <w:lang w:val="en-NZ"/>
        </w:rPr>
        <w:t>P</w:t>
      </w:r>
      <w:r w:rsidR="00521F05">
        <w:rPr>
          <w:rFonts w:asciiTheme="minorHAnsi" w:hAnsiTheme="minorHAnsi" w:cs="Calibri"/>
          <w:b/>
          <w:sz w:val="24"/>
          <w:szCs w:val="24"/>
          <w:lang w:val="en-NZ"/>
        </w:rPr>
        <w:t xml:space="preserve">hosphorus </w:t>
      </w:r>
      <w:r w:rsidRPr="00521F05">
        <w:rPr>
          <w:rFonts w:asciiTheme="minorHAnsi" w:hAnsiTheme="minorHAnsi" w:cs="Calibri"/>
          <w:b/>
          <w:sz w:val="24"/>
          <w:szCs w:val="24"/>
          <w:lang w:val="en-NZ"/>
        </w:rPr>
        <w:t>GMP recommendations for Lake Rotorua catchment</w:t>
      </w:r>
    </w:p>
    <w:p w14:paraId="0903931B" w14:textId="77777777" w:rsidR="004E42C1" w:rsidRPr="000D1385" w:rsidRDefault="0034593A" w:rsidP="00B77D60">
      <w:pPr>
        <w:spacing w:before="60" w:after="60"/>
        <w:rPr>
          <w:rFonts w:asciiTheme="minorHAnsi" w:hAnsiTheme="minorHAnsi"/>
          <w:lang w:val="en-NZ"/>
        </w:rPr>
      </w:pPr>
      <w:r w:rsidRPr="000D1385">
        <w:rPr>
          <w:rFonts w:asciiTheme="minorHAnsi" w:hAnsiTheme="minorHAnsi"/>
          <w:lang w:val="en-NZ"/>
        </w:rPr>
        <w:t>BOPRC commissioned AgResearch to produce ‘The efficacy of strategies to mitigate the loss of phosphorus from pastoral land use in the catchment of Lake Rotorua’ (</w:t>
      </w:r>
      <w:hyperlink r:id="rId23" w:history="1">
        <w:r w:rsidRPr="000D1385">
          <w:rPr>
            <w:rStyle w:val="Hyperlink"/>
            <w:rFonts w:asciiTheme="minorHAnsi" w:hAnsiTheme="minorHAnsi"/>
            <w:lang w:val="en-NZ"/>
          </w:rPr>
          <w:t>McDowell 2010</w:t>
        </w:r>
      </w:hyperlink>
      <w:r w:rsidRPr="000D1385">
        <w:rPr>
          <w:rFonts w:asciiTheme="minorHAnsi" w:hAnsiTheme="minorHAnsi"/>
          <w:lang w:val="en-NZ"/>
        </w:rPr>
        <w:t>). This gave a range of potential P practices with P loss reductions and cost bands</w:t>
      </w:r>
      <w:r w:rsidR="00B77D60" w:rsidRPr="000D1385">
        <w:rPr>
          <w:rFonts w:asciiTheme="minorHAnsi" w:hAnsiTheme="minorHAnsi"/>
          <w:lang w:val="en-NZ"/>
        </w:rPr>
        <w:t xml:space="preserve"> (McDowell’s t</w:t>
      </w:r>
      <w:r w:rsidRPr="000D1385">
        <w:rPr>
          <w:rFonts w:asciiTheme="minorHAnsi" w:hAnsiTheme="minorHAnsi"/>
          <w:lang w:val="en-NZ"/>
        </w:rPr>
        <w:t xml:space="preserve">able 2 </w:t>
      </w:r>
      <w:r w:rsidR="00B77D60" w:rsidRPr="000D1385">
        <w:rPr>
          <w:rFonts w:asciiTheme="minorHAnsi" w:hAnsiTheme="minorHAnsi"/>
          <w:lang w:val="en-NZ"/>
        </w:rPr>
        <w:t>is appended to this report)</w:t>
      </w:r>
      <w:r w:rsidRPr="000D1385">
        <w:rPr>
          <w:rFonts w:asciiTheme="minorHAnsi" w:hAnsiTheme="minorHAnsi"/>
          <w:lang w:val="en-NZ"/>
        </w:rPr>
        <w:t xml:space="preserve">. </w:t>
      </w:r>
    </w:p>
    <w:p w14:paraId="692F2409" w14:textId="73FF676B" w:rsidR="0034593A" w:rsidRPr="000D1385" w:rsidRDefault="009B2F79" w:rsidP="00B77D60">
      <w:pPr>
        <w:spacing w:before="60" w:after="60"/>
        <w:rPr>
          <w:rFonts w:asciiTheme="minorHAnsi" w:hAnsiTheme="minorHAnsi"/>
          <w:lang w:val="en-NZ"/>
        </w:rPr>
      </w:pPr>
      <w:r w:rsidRPr="000D1385">
        <w:rPr>
          <w:rFonts w:asciiTheme="minorHAnsi" w:hAnsiTheme="minorHAnsi"/>
          <w:lang w:val="en-NZ"/>
        </w:rPr>
        <w:t>In 2012, t</w:t>
      </w:r>
      <w:r w:rsidR="0034593A" w:rsidRPr="000D1385">
        <w:rPr>
          <w:rFonts w:asciiTheme="minorHAnsi" w:hAnsiTheme="minorHAnsi"/>
          <w:lang w:val="en-NZ"/>
        </w:rPr>
        <w:t xml:space="preserve">his author (then trading as Headway Ltd) </w:t>
      </w:r>
      <w:r w:rsidRPr="000D1385">
        <w:rPr>
          <w:rFonts w:asciiTheme="minorHAnsi" w:hAnsiTheme="minorHAnsi"/>
          <w:lang w:val="en-NZ"/>
        </w:rPr>
        <w:t>applied</w:t>
      </w:r>
      <w:r w:rsidR="0034593A" w:rsidRPr="000D1385">
        <w:rPr>
          <w:rFonts w:asciiTheme="minorHAnsi" w:hAnsiTheme="minorHAnsi"/>
          <w:lang w:val="en-NZ"/>
        </w:rPr>
        <w:t xml:space="preserve"> McDowell’s </w:t>
      </w:r>
      <w:r w:rsidRPr="000D1385">
        <w:rPr>
          <w:rFonts w:asciiTheme="minorHAnsi" w:hAnsiTheme="minorHAnsi"/>
          <w:lang w:val="en-NZ"/>
        </w:rPr>
        <w:t xml:space="preserve">P reduction estimates to ROTAN land use/area </w:t>
      </w:r>
      <w:r w:rsidR="0043507E">
        <w:rPr>
          <w:rFonts w:asciiTheme="minorHAnsi" w:hAnsiTheme="minorHAnsi"/>
          <w:lang w:val="en-NZ"/>
        </w:rPr>
        <w:t>data</w:t>
      </w:r>
      <w:r w:rsidR="0043507E" w:rsidRPr="000D1385">
        <w:rPr>
          <w:rFonts w:asciiTheme="minorHAnsi" w:hAnsiTheme="minorHAnsi"/>
          <w:lang w:val="en-NZ"/>
        </w:rPr>
        <w:t xml:space="preserve"> </w:t>
      </w:r>
      <w:r w:rsidRPr="000D1385">
        <w:rPr>
          <w:rFonts w:asciiTheme="minorHAnsi" w:hAnsiTheme="minorHAnsi"/>
          <w:lang w:val="en-NZ"/>
        </w:rPr>
        <w:t xml:space="preserve">to test what range of catchment P load reductions was plausible. </w:t>
      </w:r>
      <w:r w:rsidR="00B77D60" w:rsidRPr="000D1385">
        <w:rPr>
          <w:rFonts w:asciiTheme="minorHAnsi" w:hAnsiTheme="minorHAnsi"/>
          <w:lang w:val="en-NZ"/>
        </w:rPr>
        <w:t>Pastoral farm P reductions of about 40% appeared possible but did rely on comprehensive good practice adoption. A simple series of OVERSEER scenarios</w:t>
      </w:r>
      <w:r w:rsidR="0043507E">
        <w:rPr>
          <w:rFonts w:asciiTheme="minorHAnsi" w:hAnsiTheme="minorHAnsi"/>
          <w:lang w:val="en-NZ"/>
        </w:rPr>
        <w:t xml:space="preserve"> incorporating a suite of these practices</w:t>
      </w:r>
      <w:r w:rsidR="00B77D60" w:rsidRPr="000D1385">
        <w:rPr>
          <w:rFonts w:asciiTheme="minorHAnsi" w:hAnsiTheme="minorHAnsi"/>
          <w:lang w:val="en-NZ"/>
        </w:rPr>
        <w:t xml:space="preserve"> also indicated this </w:t>
      </w:r>
      <w:r w:rsidR="0043507E">
        <w:rPr>
          <w:rFonts w:asciiTheme="minorHAnsi" w:hAnsiTheme="minorHAnsi"/>
          <w:lang w:val="en-NZ"/>
        </w:rPr>
        <w:t xml:space="preserve">level of P reduction </w:t>
      </w:r>
      <w:r w:rsidR="00B77D60" w:rsidRPr="000D1385">
        <w:rPr>
          <w:rFonts w:asciiTheme="minorHAnsi" w:hAnsiTheme="minorHAnsi"/>
          <w:lang w:val="en-NZ"/>
        </w:rPr>
        <w:t xml:space="preserve">was plausible. </w:t>
      </w:r>
      <w:r w:rsidR="0043507E">
        <w:rPr>
          <w:rFonts w:asciiTheme="minorHAnsi" w:hAnsiTheme="minorHAnsi"/>
          <w:lang w:val="en-NZ"/>
        </w:rPr>
        <w:t xml:space="preserve">This analysis is appended to lake modelling report by </w:t>
      </w:r>
      <w:hyperlink r:id="rId24" w:history="1">
        <w:r w:rsidR="0043507E" w:rsidRPr="0043507E">
          <w:rPr>
            <w:rStyle w:val="Hyperlink"/>
            <w:rFonts w:asciiTheme="minorHAnsi" w:hAnsiTheme="minorHAnsi"/>
            <w:lang w:val="en-NZ"/>
          </w:rPr>
          <w:t>Hamilton et al (2012).</w:t>
        </w:r>
      </w:hyperlink>
    </w:p>
    <w:p w14:paraId="50865412" w14:textId="77777777" w:rsidR="00385CE6" w:rsidRPr="00521F05" w:rsidRDefault="00385CE6" w:rsidP="00521F05">
      <w:pPr>
        <w:numPr>
          <w:ilvl w:val="1"/>
          <w:numId w:val="3"/>
        </w:numPr>
        <w:spacing w:before="240" w:after="60" w:line="264" w:lineRule="auto"/>
        <w:rPr>
          <w:rFonts w:asciiTheme="minorHAnsi" w:hAnsiTheme="minorHAnsi" w:cs="Calibri"/>
          <w:b/>
          <w:sz w:val="24"/>
          <w:szCs w:val="24"/>
          <w:lang w:val="en-NZ"/>
        </w:rPr>
      </w:pPr>
      <w:r w:rsidRPr="00521F05">
        <w:rPr>
          <w:rFonts w:asciiTheme="minorHAnsi" w:hAnsiTheme="minorHAnsi" w:cs="Calibri"/>
          <w:b/>
          <w:sz w:val="24"/>
          <w:szCs w:val="24"/>
          <w:lang w:val="en-NZ"/>
        </w:rPr>
        <w:t>Summary</w:t>
      </w:r>
      <w:r w:rsidR="004E42C1" w:rsidRPr="00521F05">
        <w:rPr>
          <w:rFonts w:asciiTheme="minorHAnsi" w:hAnsiTheme="minorHAnsi" w:cs="Calibri"/>
          <w:b/>
          <w:sz w:val="24"/>
          <w:szCs w:val="24"/>
          <w:lang w:val="en-NZ"/>
        </w:rPr>
        <w:t xml:space="preserve"> of sector promoted good practice</w:t>
      </w:r>
      <w:r w:rsidR="00886BAA" w:rsidRPr="00521F05">
        <w:rPr>
          <w:rFonts w:asciiTheme="minorHAnsi" w:hAnsiTheme="minorHAnsi" w:cs="Calibri"/>
          <w:b/>
          <w:sz w:val="24"/>
          <w:szCs w:val="24"/>
          <w:lang w:val="en-NZ"/>
        </w:rPr>
        <w:t xml:space="preserve"> </w:t>
      </w:r>
    </w:p>
    <w:p w14:paraId="4C541878" w14:textId="77777777" w:rsidR="004E42C1" w:rsidRDefault="004E42C1" w:rsidP="00C75D5D">
      <w:pPr>
        <w:spacing w:before="60" w:after="60"/>
        <w:rPr>
          <w:rFonts w:asciiTheme="minorHAnsi" w:hAnsiTheme="minorHAnsi"/>
          <w:lang w:val="en-NZ"/>
        </w:rPr>
      </w:pPr>
      <w:r w:rsidRPr="000D1385">
        <w:rPr>
          <w:rFonts w:asciiTheme="minorHAnsi" w:hAnsiTheme="minorHAnsi"/>
          <w:lang w:val="en-NZ"/>
        </w:rPr>
        <w:t xml:space="preserve">There is a comprehensive guidance available for each of Rotorua’s major land use sectors. Analysis of B&amp;LNZ’s ‘Menu [of] practices to improve water quality’ shows scope for several practices to deliver N and P co-benefits but there are more listed practices that do not. </w:t>
      </w:r>
    </w:p>
    <w:p w14:paraId="513B9CF1" w14:textId="55478289" w:rsidR="00F36CB3" w:rsidRPr="000D1385" w:rsidRDefault="00F36CB3" w:rsidP="00F36CB3">
      <w:pPr>
        <w:spacing w:before="60" w:after="60"/>
        <w:rPr>
          <w:rFonts w:asciiTheme="minorHAnsi" w:hAnsiTheme="minorHAnsi"/>
          <w:lang w:val="en-NZ"/>
        </w:rPr>
      </w:pPr>
      <w:r>
        <w:rPr>
          <w:rFonts w:asciiTheme="minorHAnsi" w:hAnsiTheme="minorHAnsi"/>
          <w:lang w:val="en-NZ"/>
        </w:rPr>
        <w:t>M</w:t>
      </w:r>
      <w:r w:rsidRPr="00F36CB3">
        <w:rPr>
          <w:rFonts w:asciiTheme="minorHAnsi" w:hAnsiTheme="minorHAnsi"/>
          <w:lang w:val="en-NZ"/>
        </w:rPr>
        <w:t xml:space="preserve">any </w:t>
      </w:r>
      <w:r w:rsidR="00F07F89">
        <w:rPr>
          <w:rFonts w:asciiTheme="minorHAnsi" w:hAnsiTheme="minorHAnsi"/>
          <w:lang w:val="en-NZ"/>
        </w:rPr>
        <w:t xml:space="preserve">Rotorua </w:t>
      </w:r>
      <w:r w:rsidRPr="00F36CB3">
        <w:rPr>
          <w:rFonts w:asciiTheme="minorHAnsi" w:hAnsiTheme="minorHAnsi"/>
          <w:lang w:val="en-NZ"/>
        </w:rPr>
        <w:t xml:space="preserve">farmers will have </w:t>
      </w:r>
      <w:r w:rsidR="00F07F89">
        <w:rPr>
          <w:rFonts w:asciiTheme="minorHAnsi" w:hAnsiTheme="minorHAnsi"/>
          <w:lang w:val="en-NZ"/>
        </w:rPr>
        <w:t xml:space="preserve">voluntary </w:t>
      </w:r>
      <w:r w:rsidRPr="00F36CB3">
        <w:rPr>
          <w:rFonts w:asciiTheme="minorHAnsi" w:hAnsiTheme="minorHAnsi"/>
          <w:lang w:val="en-NZ"/>
        </w:rPr>
        <w:t xml:space="preserve">industry farm plans </w:t>
      </w:r>
      <w:r w:rsidR="00F07F89">
        <w:rPr>
          <w:rFonts w:asciiTheme="minorHAnsi" w:hAnsiTheme="minorHAnsi"/>
          <w:lang w:val="en-NZ"/>
        </w:rPr>
        <w:t xml:space="preserve">(SMPs and LEPs) </w:t>
      </w:r>
      <w:r w:rsidRPr="00F36CB3">
        <w:rPr>
          <w:rFonts w:asciiTheme="minorHAnsi" w:hAnsiTheme="minorHAnsi"/>
          <w:lang w:val="en-NZ"/>
        </w:rPr>
        <w:t xml:space="preserve">that both assist with </w:t>
      </w:r>
      <w:r w:rsidR="00F07F89">
        <w:rPr>
          <w:rFonts w:asciiTheme="minorHAnsi" w:hAnsiTheme="minorHAnsi"/>
          <w:lang w:val="en-NZ"/>
        </w:rPr>
        <w:t xml:space="preserve">the regulatory </w:t>
      </w:r>
      <w:r w:rsidRPr="00F36CB3">
        <w:rPr>
          <w:rFonts w:asciiTheme="minorHAnsi" w:hAnsiTheme="minorHAnsi"/>
          <w:lang w:val="en-NZ"/>
        </w:rPr>
        <w:t xml:space="preserve">NMP </w:t>
      </w:r>
      <w:r>
        <w:rPr>
          <w:rFonts w:asciiTheme="minorHAnsi" w:hAnsiTheme="minorHAnsi"/>
          <w:lang w:val="en-NZ"/>
        </w:rPr>
        <w:t xml:space="preserve">and </w:t>
      </w:r>
      <w:r w:rsidR="00F07F89">
        <w:rPr>
          <w:rFonts w:asciiTheme="minorHAnsi" w:hAnsiTheme="minorHAnsi"/>
          <w:lang w:val="en-NZ"/>
        </w:rPr>
        <w:t xml:space="preserve">which </w:t>
      </w:r>
      <w:r>
        <w:rPr>
          <w:rFonts w:asciiTheme="minorHAnsi" w:hAnsiTheme="minorHAnsi"/>
          <w:lang w:val="en-NZ"/>
        </w:rPr>
        <w:t xml:space="preserve">encourage P good management </w:t>
      </w:r>
      <w:r w:rsidR="00C77F54">
        <w:rPr>
          <w:rFonts w:asciiTheme="minorHAnsi" w:hAnsiTheme="minorHAnsi"/>
          <w:lang w:val="en-NZ"/>
        </w:rPr>
        <w:t>practices</w:t>
      </w:r>
      <w:r>
        <w:rPr>
          <w:rFonts w:asciiTheme="minorHAnsi" w:hAnsiTheme="minorHAnsi"/>
          <w:lang w:val="en-NZ"/>
        </w:rPr>
        <w:t xml:space="preserve">. </w:t>
      </w:r>
      <w:r w:rsidRPr="00F36CB3">
        <w:rPr>
          <w:rFonts w:asciiTheme="minorHAnsi" w:hAnsiTheme="minorHAnsi"/>
          <w:lang w:val="en-NZ"/>
        </w:rPr>
        <w:t xml:space="preserve"> </w:t>
      </w:r>
    </w:p>
    <w:p w14:paraId="7700B239" w14:textId="339B3383" w:rsidR="00C75D5D" w:rsidRPr="000D1385" w:rsidRDefault="004E42C1" w:rsidP="00C75D5D">
      <w:pPr>
        <w:spacing w:before="60" w:after="60"/>
        <w:rPr>
          <w:rFonts w:asciiTheme="minorHAnsi" w:hAnsiTheme="minorHAnsi"/>
          <w:lang w:val="en-NZ"/>
        </w:rPr>
      </w:pPr>
      <w:r w:rsidRPr="000D1385">
        <w:rPr>
          <w:rFonts w:asciiTheme="minorHAnsi" w:hAnsiTheme="minorHAnsi"/>
          <w:lang w:val="en-NZ"/>
        </w:rPr>
        <w:t xml:space="preserve">It is plausible that a high adoption level of P (and sediment) good practices would result in a meaningful reduction in current P losses from each of the major land use sectors, as illustrated in reports by McDowell (2010) and </w:t>
      </w:r>
      <w:r w:rsidR="00A82A2F">
        <w:rPr>
          <w:rFonts w:asciiTheme="minorHAnsi" w:hAnsiTheme="minorHAnsi"/>
          <w:lang w:val="en-NZ"/>
        </w:rPr>
        <w:t xml:space="preserve">a related </w:t>
      </w:r>
      <w:r w:rsidRPr="000D1385">
        <w:rPr>
          <w:rFonts w:asciiTheme="minorHAnsi" w:hAnsiTheme="minorHAnsi"/>
          <w:lang w:val="en-NZ"/>
        </w:rPr>
        <w:t>extrapolation by Park (2012). However, i</w:t>
      </w:r>
      <w:r w:rsidR="002B5325" w:rsidRPr="000D1385">
        <w:rPr>
          <w:rFonts w:asciiTheme="minorHAnsi" w:hAnsiTheme="minorHAnsi"/>
          <w:lang w:val="en-NZ"/>
        </w:rPr>
        <w:t xml:space="preserve">t is difficult to </w:t>
      </w:r>
      <w:r w:rsidRPr="000D1385">
        <w:rPr>
          <w:rFonts w:asciiTheme="minorHAnsi" w:hAnsiTheme="minorHAnsi"/>
          <w:lang w:val="en-NZ"/>
        </w:rPr>
        <w:t xml:space="preserve">reliably </w:t>
      </w:r>
      <w:r w:rsidR="002B5325" w:rsidRPr="000D1385">
        <w:rPr>
          <w:rFonts w:asciiTheme="minorHAnsi" w:hAnsiTheme="minorHAnsi"/>
          <w:lang w:val="en-NZ"/>
        </w:rPr>
        <w:t xml:space="preserve">quantify the potential reduction in P loss </w:t>
      </w:r>
      <w:r w:rsidR="008B3396" w:rsidRPr="000D1385">
        <w:rPr>
          <w:rFonts w:asciiTheme="minorHAnsi" w:hAnsiTheme="minorHAnsi"/>
          <w:lang w:val="en-NZ"/>
        </w:rPr>
        <w:t>if</w:t>
      </w:r>
      <w:r w:rsidR="002B5325" w:rsidRPr="000D1385">
        <w:rPr>
          <w:rFonts w:asciiTheme="minorHAnsi" w:hAnsiTheme="minorHAnsi"/>
          <w:lang w:val="en-NZ"/>
        </w:rPr>
        <w:t xml:space="preserve"> landowners follow</w:t>
      </w:r>
      <w:r w:rsidR="008B3396" w:rsidRPr="000D1385">
        <w:rPr>
          <w:rFonts w:asciiTheme="minorHAnsi" w:hAnsiTheme="minorHAnsi"/>
          <w:lang w:val="en-NZ"/>
        </w:rPr>
        <w:t>ed</w:t>
      </w:r>
      <w:r w:rsidR="002B5325" w:rsidRPr="000D1385">
        <w:rPr>
          <w:rFonts w:asciiTheme="minorHAnsi" w:hAnsiTheme="minorHAnsi"/>
          <w:lang w:val="en-NZ"/>
        </w:rPr>
        <w:t xml:space="preserve"> sector good practice</w:t>
      </w:r>
      <w:r w:rsidRPr="000D1385">
        <w:rPr>
          <w:rFonts w:asciiTheme="minorHAnsi" w:hAnsiTheme="minorHAnsi"/>
          <w:lang w:val="en-NZ"/>
        </w:rPr>
        <w:t xml:space="preserve"> without further analysis. </w:t>
      </w:r>
    </w:p>
    <w:p w14:paraId="70C22B64" w14:textId="77777777" w:rsidR="00502BBE" w:rsidRPr="000D1385" w:rsidRDefault="004D505B" w:rsidP="00C66C2C">
      <w:pPr>
        <w:numPr>
          <w:ilvl w:val="0"/>
          <w:numId w:val="3"/>
        </w:numPr>
        <w:spacing w:before="240" w:after="60" w:line="264" w:lineRule="auto"/>
        <w:rPr>
          <w:rFonts w:asciiTheme="minorHAnsi" w:hAnsiTheme="minorHAnsi" w:cs="Calibri"/>
          <w:b/>
          <w:sz w:val="28"/>
          <w:szCs w:val="28"/>
          <w:lang w:val="en-NZ"/>
        </w:rPr>
      </w:pPr>
      <w:r w:rsidRPr="000D1385">
        <w:rPr>
          <w:rFonts w:asciiTheme="minorHAnsi" w:hAnsiTheme="minorHAnsi" w:cs="Calibri"/>
          <w:b/>
          <w:sz w:val="28"/>
          <w:szCs w:val="28"/>
          <w:lang w:val="en-NZ"/>
        </w:rPr>
        <w:lastRenderedPageBreak/>
        <w:t>I</w:t>
      </w:r>
      <w:r w:rsidR="00385CE6" w:rsidRPr="000D1385">
        <w:rPr>
          <w:rFonts w:asciiTheme="minorHAnsi" w:hAnsiTheme="minorHAnsi" w:cs="Calibri"/>
          <w:b/>
          <w:sz w:val="28"/>
          <w:szCs w:val="28"/>
          <w:lang w:val="en-NZ"/>
        </w:rPr>
        <w:t xml:space="preserve">mplementing PC 10 </w:t>
      </w:r>
    </w:p>
    <w:p w14:paraId="640790BD" w14:textId="77777777" w:rsidR="006250CE" w:rsidRPr="006250CE" w:rsidRDefault="006250CE" w:rsidP="006250CE">
      <w:pPr>
        <w:numPr>
          <w:ilvl w:val="1"/>
          <w:numId w:val="3"/>
        </w:numPr>
        <w:spacing w:before="240" w:after="60" w:line="264" w:lineRule="auto"/>
        <w:rPr>
          <w:rFonts w:asciiTheme="minorHAnsi" w:hAnsiTheme="minorHAnsi" w:cs="Calibri"/>
          <w:b/>
          <w:sz w:val="24"/>
          <w:szCs w:val="24"/>
          <w:lang w:val="en-NZ"/>
        </w:rPr>
      </w:pPr>
      <w:r w:rsidRPr="006250CE">
        <w:rPr>
          <w:rFonts w:asciiTheme="minorHAnsi" w:hAnsiTheme="minorHAnsi" w:cs="Calibri"/>
          <w:b/>
          <w:sz w:val="24"/>
          <w:szCs w:val="24"/>
          <w:lang w:val="en-NZ"/>
        </w:rPr>
        <w:t>Overview of PC10 provisions on phosphorus</w:t>
      </w:r>
    </w:p>
    <w:p w14:paraId="114894C7" w14:textId="77777777" w:rsidR="00144673" w:rsidRPr="000D1385" w:rsidRDefault="008B3396" w:rsidP="00DC1D45">
      <w:pPr>
        <w:spacing w:before="60" w:after="60"/>
        <w:rPr>
          <w:rFonts w:asciiTheme="minorHAnsi" w:hAnsiTheme="minorHAnsi"/>
          <w:lang w:val="en-NZ"/>
        </w:rPr>
      </w:pPr>
      <w:r w:rsidRPr="000D1385">
        <w:rPr>
          <w:rFonts w:asciiTheme="minorHAnsi" w:hAnsiTheme="minorHAnsi"/>
          <w:lang w:val="en-NZ"/>
        </w:rPr>
        <w:t xml:space="preserve">It is acknowledged that the main thrust of PC 10 to reduce nitrogen losses from land to </w:t>
      </w:r>
      <w:r w:rsidR="00144673" w:rsidRPr="000D1385">
        <w:rPr>
          <w:rFonts w:asciiTheme="minorHAnsi" w:hAnsiTheme="minorHAnsi"/>
          <w:lang w:val="en-NZ"/>
        </w:rPr>
        <w:t>help meet</w:t>
      </w:r>
      <w:r w:rsidRPr="000D1385">
        <w:rPr>
          <w:rFonts w:asciiTheme="minorHAnsi" w:hAnsiTheme="minorHAnsi"/>
          <w:lang w:val="en-NZ"/>
        </w:rPr>
        <w:t xml:space="preserve"> </w:t>
      </w:r>
      <w:r w:rsidR="00144673" w:rsidRPr="000D1385">
        <w:rPr>
          <w:rFonts w:asciiTheme="minorHAnsi" w:hAnsiTheme="minorHAnsi"/>
          <w:lang w:val="en-NZ"/>
        </w:rPr>
        <w:t xml:space="preserve">the sustainable annual lake load of 435 tN. </w:t>
      </w:r>
      <w:r w:rsidR="004C6D29" w:rsidRPr="000D1385">
        <w:rPr>
          <w:rFonts w:asciiTheme="minorHAnsi" w:hAnsiTheme="minorHAnsi"/>
          <w:lang w:val="en-NZ"/>
        </w:rPr>
        <w:t xml:space="preserve">However, there are a number of </w:t>
      </w:r>
      <w:r w:rsidR="00144673" w:rsidRPr="000D1385">
        <w:rPr>
          <w:rFonts w:asciiTheme="minorHAnsi" w:hAnsiTheme="minorHAnsi"/>
          <w:lang w:val="en-NZ"/>
        </w:rPr>
        <w:t>P provisions in PC 10:</w:t>
      </w:r>
    </w:p>
    <w:p w14:paraId="28806246" w14:textId="77777777" w:rsidR="00144673" w:rsidRPr="000D1385" w:rsidRDefault="004C6D29" w:rsidP="004C6D29">
      <w:pPr>
        <w:numPr>
          <w:ilvl w:val="0"/>
          <w:numId w:val="17"/>
        </w:numPr>
        <w:spacing w:before="60" w:after="60"/>
        <w:rPr>
          <w:rFonts w:asciiTheme="minorHAnsi" w:hAnsiTheme="minorHAnsi"/>
          <w:lang w:val="en-NZ"/>
        </w:rPr>
      </w:pPr>
      <w:r w:rsidRPr="000D1385">
        <w:rPr>
          <w:rFonts w:asciiTheme="minorHAnsi" w:hAnsiTheme="minorHAnsi"/>
          <w:b/>
          <w:lang w:val="en-NZ"/>
        </w:rPr>
        <w:t xml:space="preserve">Policy </w:t>
      </w:r>
      <w:r w:rsidR="00A72A4F" w:rsidRPr="000D1385">
        <w:rPr>
          <w:rFonts w:asciiTheme="minorHAnsi" w:hAnsiTheme="minorHAnsi"/>
          <w:b/>
          <w:lang w:val="en-NZ"/>
        </w:rPr>
        <w:t xml:space="preserve">P2: </w:t>
      </w:r>
      <w:r w:rsidR="00144673" w:rsidRPr="000D1385">
        <w:rPr>
          <w:rFonts w:asciiTheme="minorHAnsi" w:hAnsiTheme="minorHAnsi"/>
          <w:lang w:val="en-NZ"/>
        </w:rPr>
        <w:t xml:space="preserve">To manage phosphorus loss through the implementation of management practices that will be detailed in Nitrogen Management Plans prepared for individual properties/farming enterprises. </w:t>
      </w:r>
    </w:p>
    <w:p w14:paraId="6046D1F2" w14:textId="77777777" w:rsidR="00A72A4F" w:rsidRPr="000D1385" w:rsidRDefault="004C6D29" w:rsidP="004C6D29">
      <w:pPr>
        <w:numPr>
          <w:ilvl w:val="0"/>
          <w:numId w:val="17"/>
        </w:numPr>
        <w:spacing w:before="60" w:after="60"/>
        <w:rPr>
          <w:rFonts w:asciiTheme="minorHAnsi" w:hAnsiTheme="minorHAnsi"/>
          <w:lang w:val="en-NZ"/>
        </w:rPr>
      </w:pPr>
      <w:r w:rsidRPr="000D1385">
        <w:rPr>
          <w:rFonts w:asciiTheme="minorHAnsi" w:hAnsiTheme="minorHAnsi"/>
          <w:b/>
          <w:lang w:val="en-NZ"/>
        </w:rPr>
        <w:t>Method</w:t>
      </w:r>
      <w:r w:rsidR="00A72A4F" w:rsidRPr="000D1385">
        <w:rPr>
          <w:rFonts w:asciiTheme="minorHAnsi" w:hAnsiTheme="minorHAnsi"/>
          <w:b/>
          <w:lang w:val="en-NZ"/>
        </w:rPr>
        <w:t xml:space="preserve"> M2:</w:t>
      </w:r>
      <w:r w:rsidR="00A72A4F" w:rsidRPr="000D1385">
        <w:rPr>
          <w:rFonts w:asciiTheme="minorHAnsi" w:hAnsiTheme="minorHAnsi"/>
          <w:lang w:val="en-NZ"/>
        </w:rPr>
        <w:t xml:space="preserve"> </w:t>
      </w:r>
      <w:r w:rsidRPr="000D1385">
        <w:rPr>
          <w:rFonts w:asciiTheme="minorHAnsi" w:hAnsiTheme="minorHAnsi"/>
          <w:lang w:val="en-NZ"/>
        </w:rPr>
        <w:t>The five yearly science reviews will include ‘..</w:t>
      </w:r>
      <w:r w:rsidR="00A72A4F" w:rsidRPr="000D1385">
        <w:rPr>
          <w:rFonts w:asciiTheme="minorHAnsi" w:hAnsiTheme="minorHAnsi"/>
          <w:lang w:val="en-NZ"/>
        </w:rPr>
        <w:t>.an assessment of the efficacy and risks of alum dosing and an assessment of land-based phosphorus loss mitigation.</w:t>
      </w:r>
      <w:r w:rsidRPr="000D1385">
        <w:rPr>
          <w:rFonts w:asciiTheme="minorHAnsi" w:hAnsiTheme="minorHAnsi"/>
          <w:lang w:val="en-NZ"/>
        </w:rPr>
        <w:t>’</w:t>
      </w:r>
      <w:r w:rsidR="00A72A4F" w:rsidRPr="000D1385">
        <w:rPr>
          <w:rFonts w:asciiTheme="minorHAnsi" w:hAnsiTheme="minorHAnsi"/>
          <w:lang w:val="en-NZ"/>
        </w:rPr>
        <w:t xml:space="preserve"> </w:t>
      </w:r>
    </w:p>
    <w:p w14:paraId="17F12BCD" w14:textId="77777777" w:rsidR="00A72A4F" w:rsidRPr="000D1385" w:rsidRDefault="000D1385" w:rsidP="000D1385">
      <w:pPr>
        <w:numPr>
          <w:ilvl w:val="0"/>
          <w:numId w:val="17"/>
        </w:numPr>
        <w:spacing w:before="60" w:after="60"/>
        <w:rPr>
          <w:rFonts w:asciiTheme="minorHAnsi" w:hAnsiTheme="minorHAnsi"/>
          <w:lang w:val="en-NZ"/>
        </w:rPr>
      </w:pPr>
      <w:r w:rsidRPr="000D1385">
        <w:rPr>
          <w:rFonts w:asciiTheme="minorHAnsi" w:hAnsiTheme="minorHAnsi"/>
          <w:b/>
          <w:lang w:val="en-NZ"/>
        </w:rPr>
        <w:t>Method</w:t>
      </w:r>
      <w:r w:rsidR="00A72A4F" w:rsidRPr="000D1385">
        <w:rPr>
          <w:rFonts w:asciiTheme="minorHAnsi" w:hAnsiTheme="minorHAnsi"/>
          <w:b/>
          <w:lang w:val="en-NZ"/>
        </w:rPr>
        <w:t xml:space="preserve"> M5:</w:t>
      </w:r>
      <w:r w:rsidR="00A72A4F" w:rsidRPr="000D1385">
        <w:rPr>
          <w:rFonts w:asciiTheme="minorHAnsi" w:hAnsiTheme="minorHAnsi"/>
          <w:lang w:val="en-NZ"/>
        </w:rPr>
        <w:t xml:space="preserve"> Council will….</w:t>
      </w:r>
    </w:p>
    <w:p w14:paraId="1A2A06C1" w14:textId="77777777" w:rsidR="00A72A4F" w:rsidRPr="000D1385" w:rsidRDefault="00A72A4F" w:rsidP="000D1385">
      <w:pPr>
        <w:spacing w:before="60" w:after="60"/>
        <w:ind w:left="720"/>
        <w:rPr>
          <w:rFonts w:asciiTheme="minorHAnsi" w:hAnsiTheme="minorHAnsi"/>
          <w:lang w:val="en-NZ"/>
        </w:rPr>
      </w:pPr>
      <w:r w:rsidRPr="000D1385">
        <w:rPr>
          <w:rFonts w:asciiTheme="minorHAnsi" w:hAnsiTheme="minorHAnsi"/>
          <w:lang w:val="en-NZ"/>
        </w:rPr>
        <w:t xml:space="preserve">(d) provide land advisory services and incentives to support land use management change and land use change that reduces nitrogen </w:t>
      </w:r>
      <w:r w:rsidRPr="000D1385">
        <w:rPr>
          <w:rFonts w:asciiTheme="minorHAnsi" w:hAnsiTheme="minorHAnsi"/>
          <w:b/>
          <w:lang w:val="en-NZ"/>
        </w:rPr>
        <w:t>and phosphorus</w:t>
      </w:r>
      <w:r w:rsidRPr="000D1385">
        <w:rPr>
          <w:rFonts w:asciiTheme="minorHAnsi" w:hAnsiTheme="minorHAnsi"/>
          <w:lang w:val="en-NZ"/>
        </w:rPr>
        <w:t xml:space="preserve"> loss in the catchment; and </w:t>
      </w:r>
    </w:p>
    <w:p w14:paraId="5951E531" w14:textId="77777777" w:rsidR="00A72A4F" w:rsidRPr="000D1385" w:rsidRDefault="00A72A4F" w:rsidP="000D1385">
      <w:pPr>
        <w:spacing w:before="60" w:after="60"/>
        <w:ind w:left="720"/>
        <w:rPr>
          <w:rFonts w:asciiTheme="minorHAnsi" w:hAnsiTheme="minorHAnsi"/>
          <w:lang w:val="en-NZ"/>
        </w:rPr>
      </w:pPr>
      <w:r w:rsidRPr="000D1385">
        <w:rPr>
          <w:rFonts w:asciiTheme="minorHAnsi" w:hAnsiTheme="minorHAnsi"/>
          <w:lang w:val="en-NZ"/>
        </w:rPr>
        <w:t xml:space="preserve">(e) encourage industry good practices to be implemented on rural properties/farming enterprises to reduce nitrogen </w:t>
      </w:r>
      <w:r w:rsidRPr="000D1385">
        <w:rPr>
          <w:rFonts w:asciiTheme="minorHAnsi" w:hAnsiTheme="minorHAnsi"/>
          <w:b/>
          <w:lang w:val="en-NZ"/>
        </w:rPr>
        <w:t>and phosphorus</w:t>
      </w:r>
      <w:r w:rsidRPr="000D1385">
        <w:rPr>
          <w:rFonts w:asciiTheme="minorHAnsi" w:hAnsiTheme="minorHAnsi"/>
          <w:lang w:val="en-NZ"/>
        </w:rPr>
        <w:t xml:space="preserve"> loss in the catchment. [</w:t>
      </w:r>
      <w:r w:rsidRPr="000D1385">
        <w:rPr>
          <w:rFonts w:asciiTheme="minorHAnsi" w:hAnsiTheme="minorHAnsi"/>
          <w:b/>
          <w:lang w:val="en-NZ"/>
        </w:rPr>
        <w:t>emphasis</w:t>
      </w:r>
      <w:r w:rsidRPr="000D1385">
        <w:rPr>
          <w:rFonts w:asciiTheme="minorHAnsi" w:hAnsiTheme="minorHAnsi"/>
          <w:lang w:val="en-NZ"/>
        </w:rPr>
        <w:t xml:space="preserve"> added]</w:t>
      </w:r>
    </w:p>
    <w:p w14:paraId="35D262CA" w14:textId="77777777" w:rsidR="00A72A4F" w:rsidRPr="000D1385" w:rsidRDefault="00A72A4F" w:rsidP="000D1385">
      <w:pPr>
        <w:numPr>
          <w:ilvl w:val="0"/>
          <w:numId w:val="17"/>
        </w:numPr>
        <w:spacing w:before="60" w:after="60"/>
        <w:rPr>
          <w:rFonts w:asciiTheme="minorHAnsi" w:hAnsiTheme="minorHAnsi"/>
          <w:b/>
          <w:lang w:val="en-NZ"/>
        </w:rPr>
      </w:pPr>
      <w:r w:rsidRPr="000D1385">
        <w:rPr>
          <w:rFonts w:asciiTheme="minorHAnsi" w:hAnsiTheme="minorHAnsi"/>
          <w:b/>
          <w:lang w:val="en-NZ"/>
        </w:rPr>
        <w:t>Schedule Six</w:t>
      </w:r>
      <w:r w:rsidR="000D1385" w:rsidRPr="000D1385">
        <w:rPr>
          <w:rFonts w:asciiTheme="minorHAnsi" w:hAnsiTheme="minorHAnsi"/>
          <w:b/>
          <w:lang w:val="en-NZ"/>
        </w:rPr>
        <w:t xml:space="preserve"> – Nitrogen Management Plans </w:t>
      </w:r>
      <w:r w:rsidR="000D1385" w:rsidRPr="000D1385">
        <w:rPr>
          <w:rFonts w:asciiTheme="minorHAnsi" w:hAnsiTheme="minorHAnsi"/>
          <w:lang w:val="en-NZ"/>
        </w:rPr>
        <w:t>[includes]</w:t>
      </w:r>
    </w:p>
    <w:p w14:paraId="6324BEFD" w14:textId="77777777" w:rsidR="00A72A4F" w:rsidRPr="000D1385" w:rsidRDefault="000D1385" w:rsidP="000D1385">
      <w:pPr>
        <w:autoSpaceDE w:val="0"/>
        <w:autoSpaceDN w:val="0"/>
        <w:adjustRightInd w:val="0"/>
        <w:spacing w:after="0" w:line="240" w:lineRule="auto"/>
        <w:ind w:left="720"/>
        <w:rPr>
          <w:rFonts w:asciiTheme="minorHAnsi" w:hAnsiTheme="minorHAnsi" w:cstheme="minorHAnsi"/>
          <w:color w:val="000000"/>
          <w:lang w:val="en-NZ" w:eastAsia="en-NZ"/>
        </w:rPr>
      </w:pPr>
      <w:r w:rsidRPr="000D1385">
        <w:rPr>
          <w:rFonts w:asciiTheme="minorHAnsi" w:hAnsiTheme="minorHAnsi" w:cstheme="minorHAnsi"/>
          <w:iCs/>
          <w:color w:val="000000"/>
          <w:lang w:val="en-NZ" w:eastAsia="en-NZ"/>
        </w:rPr>
        <w:t>5(b)</w:t>
      </w:r>
      <w:r w:rsidRPr="000D1385">
        <w:rPr>
          <w:rFonts w:asciiTheme="minorHAnsi" w:hAnsiTheme="minorHAnsi" w:cstheme="minorHAnsi"/>
          <w:i/>
          <w:iCs/>
          <w:color w:val="000000"/>
          <w:lang w:val="en-NZ" w:eastAsia="en-NZ"/>
        </w:rPr>
        <w:t xml:space="preserve"> </w:t>
      </w:r>
      <w:r w:rsidR="00A72A4F" w:rsidRPr="000D1385">
        <w:rPr>
          <w:rFonts w:asciiTheme="minorHAnsi" w:hAnsiTheme="minorHAnsi" w:cstheme="minorHAnsi"/>
          <w:i/>
          <w:iCs/>
          <w:color w:val="000000"/>
          <w:lang w:val="en-NZ" w:eastAsia="en-NZ"/>
        </w:rPr>
        <w:t xml:space="preserve">Phosphorus management: </w:t>
      </w:r>
      <w:r w:rsidR="00A72A4F" w:rsidRPr="000D1385">
        <w:rPr>
          <w:rFonts w:asciiTheme="minorHAnsi" w:hAnsiTheme="minorHAnsi" w:cstheme="minorHAnsi"/>
          <w:color w:val="000000"/>
          <w:lang w:val="en-NZ" w:eastAsia="en-NZ"/>
        </w:rPr>
        <w:t xml:space="preserve">To identify the environmental risks associated with phosphorus and sediment loss from the subject property, the significance of those risks and implementation of industry best practice management to avoid or reduce the risks. </w:t>
      </w:r>
    </w:p>
    <w:p w14:paraId="3D1BA5E4" w14:textId="77777777" w:rsidR="00D74FB8" w:rsidRDefault="000D1385" w:rsidP="00DC1D45">
      <w:pPr>
        <w:spacing w:before="60" w:after="60"/>
        <w:rPr>
          <w:rFonts w:asciiTheme="minorHAnsi" w:hAnsiTheme="minorHAnsi"/>
          <w:lang w:val="en-NZ"/>
        </w:rPr>
      </w:pPr>
      <w:r w:rsidRPr="000D1385">
        <w:rPr>
          <w:rFonts w:asciiTheme="minorHAnsi" w:hAnsiTheme="minorHAnsi"/>
          <w:lang w:val="en-NZ"/>
        </w:rPr>
        <w:t>Additional NMP requirements relate to effluent management (5(d) and fertiliser management</w:t>
      </w:r>
      <w:r>
        <w:rPr>
          <w:rFonts w:asciiTheme="minorHAnsi" w:hAnsiTheme="minorHAnsi"/>
          <w:lang w:val="en-NZ"/>
        </w:rPr>
        <w:t xml:space="preserve"> (5(f)), both of which address P losses and good practice</w:t>
      </w:r>
      <w:r w:rsidRPr="000D1385">
        <w:rPr>
          <w:rFonts w:asciiTheme="minorHAnsi" w:hAnsiTheme="minorHAnsi"/>
          <w:lang w:val="en-NZ"/>
        </w:rPr>
        <w:t>.</w:t>
      </w:r>
      <w:r w:rsidR="00F04947">
        <w:rPr>
          <w:rFonts w:asciiTheme="minorHAnsi" w:hAnsiTheme="minorHAnsi"/>
          <w:lang w:val="en-NZ"/>
        </w:rPr>
        <w:t xml:space="preserve"> </w:t>
      </w:r>
    </w:p>
    <w:p w14:paraId="5D911F48" w14:textId="63822A4C" w:rsidR="003455AD" w:rsidRDefault="00D74FB8" w:rsidP="00DC1D45">
      <w:pPr>
        <w:spacing w:before="60" w:after="60"/>
        <w:rPr>
          <w:rFonts w:asciiTheme="minorHAnsi" w:hAnsiTheme="minorHAnsi"/>
          <w:lang w:val="en-NZ"/>
        </w:rPr>
      </w:pPr>
      <w:r>
        <w:rPr>
          <w:rFonts w:asciiTheme="minorHAnsi" w:hAnsiTheme="minorHAnsi"/>
          <w:lang w:val="en-NZ"/>
        </w:rPr>
        <w:t xml:space="preserve">In response to </w:t>
      </w:r>
      <w:r w:rsidR="003455AD">
        <w:rPr>
          <w:rFonts w:asciiTheme="minorHAnsi" w:hAnsiTheme="minorHAnsi"/>
          <w:lang w:val="en-NZ"/>
        </w:rPr>
        <w:t xml:space="preserve">PC10 submissions, staff propose that NMPs are now </w:t>
      </w:r>
      <w:r w:rsidR="003455AD" w:rsidRPr="00FD10D1">
        <w:rPr>
          <w:rFonts w:asciiTheme="minorHAnsi" w:hAnsiTheme="minorHAnsi"/>
          <w:u w:val="single"/>
          <w:lang w:val="en-NZ"/>
        </w:rPr>
        <w:t>Nutrient</w:t>
      </w:r>
      <w:r w:rsidR="003455AD">
        <w:rPr>
          <w:rFonts w:asciiTheme="minorHAnsi" w:hAnsiTheme="minorHAnsi"/>
          <w:lang w:val="en-NZ"/>
        </w:rPr>
        <w:t xml:space="preserve"> Management Plans (i.e. more explicitly N and P) and that Schedule Six 5(b) is expanded by adding [after ‘good practice management measures…]: </w:t>
      </w:r>
    </w:p>
    <w:p w14:paraId="1493FEDB" w14:textId="77777777" w:rsidR="003455AD" w:rsidRDefault="003455AD" w:rsidP="00FD10D1">
      <w:pPr>
        <w:spacing w:before="60" w:after="60"/>
        <w:ind w:left="360"/>
        <w:rPr>
          <w:rFonts w:asciiTheme="minorHAnsi" w:hAnsiTheme="minorHAnsi" w:cstheme="minorHAnsi"/>
        </w:rPr>
      </w:pPr>
      <w:r w:rsidRPr="00FD10D1">
        <w:rPr>
          <w:rFonts w:asciiTheme="minorHAnsi" w:hAnsiTheme="minorHAnsi" w:cstheme="minorHAnsi"/>
        </w:rPr>
        <w:t xml:space="preserve">This shall include the identification of appropriate mitigation actions within critical source areas, with these areas including: </w:t>
      </w:r>
    </w:p>
    <w:p w14:paraId="43C44CA8" w14:textId="5CBDA4D1" w:rsidR="003455AD" w:rsidRPr="00FD10D1" w:rsidRDefault="003455AD" w:rsidP="00FD10D1">
      <w:pPr>
        <w:pStyle w:val="ListParagraph"/>
        <w:numPr>
          <w:ilvl w:val="0"/>
          <w:numId w:val="24"/>
        </w:numPr>
        <w:spacing w:before="60" w:after="60"/>
        <w:rPr>
          <w:rFonts w:asciiTheme="minorHAnsi" w:hAnsiTheme="minorHAnsi" w:cstheme="minorHAnsi"/>
        </w:rPr>
      </w:pPr>
      <w:r w:rsidRPr="00FD10D1">
        <w:rPr>
          <w:rFonts w:asciiTheme="minorHAnsi" w:hAnsiTheme="minorHAnsi" w:cstheme="minorHAnsi"/>
        </w:rPr>
        <w:t>overland flow paths and areas prone to flooding and ponding</w:t>
      </w:r>
    </w:p>
    <w:p w14:paraId="19AC2A7F" w14:textId="77777777" w:rsidR="003455AD" w:rsidRDefault="003455AD" w:rsidP="00FD10D1">
      <w:pPr>
        <w:pStyle w:val="ListParagraph"/>
        <w:numPr>
          <w:ilvl w:val="0"/>
          <w:numId w:val="24"/>
        </w:numPr>
        <w:spacing w:before="60" w:after="60"/>
        <w:rPr>
          <w:rFonts w:asciiTheme="minorHAnsi" w:hAnsiTheme="minorHAnsi" w:cstheme="minorHAnsi"/>
        </w:rPr>
      </w:pPr>
      <w:r w:rsidRPr="00FD10D1">
        <w:rPr>
          <w:rFonts w:asciiTheme="minorHAnsi" w:hAnsiTheme="minorHAnsi" w:cstheme="minorHAnsi"/>
        </w:rPr>
        <w:t>erosion prone areas</w:t>
      </w:r>
    </w:p>
    <w:p w14:paraId="538B3709" w14:textId="77777777" w:rsidR="003455AD" w:rsidRDefault="003455AD" w:rsidP="00FD10D1">
      <w:pPr>
        <w:pStyle w:val="ListParagraph"/>
        <w:numPr>
          <w:ilvl w:val="0"/>
          <w:numId w:val="24"/>
        </w:numPr>
        <w:spacing w:before="60" w:after="60"/>
        <w:rPr>
          <w:rFonts w:asciiTheme="minorHAnsi" w:hAnsiTheme="minorHAnsi" w:cstheme="minorHAnsi"/>
        </w:rPr>
      </w:pPr>
      <w:r w:rsidRPr="00FD10D1">
        <w:rPr>
          <w:rFonts w:asciiTheme="minorHAnsi" w:hAnsiTheme="minorHAnsi" w:cstheme="minorHAnsi"/>
        </w:rPr>
        <w:t>farm tracks and races and livestock crossing structures</w:t>
      </w:r>
    </w:p>
    <w:p w14:paraId="5FF3090F" w14:textId="77777777" w:rsidR="003455AD" w:rsidRDefault="003455AD" w:rsidP="00FD10D1">
      <w:pPr>
        <w:pStyle w:val="ListParagraph"/>
        <w:numPr>
          <w:ilvl w:val="0"/>
          <w:numId w:val="24"/>
        </w:numPr>
        <w:spacing w:before="60" w:after="60"/>
        <w:rPr>
          <w:rFonts w:asciiTheme="minorHAnsi" w:hAnsiTheme="minorHAnsi" w:cstheme="minorHAnsi"/>
        </w:rPr>
      </w:pPr>
      <w:r w:rsidRPr="00FD10D1">
        <w:rPr>
          <w:rFonts w:asciiTheme="minorHAnsi" w:hAnsiTheme="minorHAnsi" w:cstheme="minorHAnsi"/>
        </w:rPr>
        <w:t>areas where effluent accumulates including yards, races and underpasses</w:t>
      </w:r>
    </w:p>
    <w:p w14:paraId="42E3ED5F" w14:textId="5CEFDF3E" w:rsidR="003455AD" w:rsidRPr="00FD10D1" w:rsidRDefault="003455AD" w:rsidP="00FD10D1">
      <w:pPr>
        <w:pStyle w:val="ListParagraph"/>
        <w:numPr>
          <w:ilvl w:val="0"/>
          <w:numId w:val="24"/>
        </w:numPr>
        <w:spacing w:before="60" w:after="60"/>
        <w:rPr>
          <w:rFonts w:asciiTheme="minorHAnsi" w:hAnsiTheme="minorHAnsi" w:cstheme="minorHAnsi"/>
        </w:rPr>
      </w:pPr>
      <w:r w:rsidRPr="00FD10D1">
        <w:rPr>
          <w:rFonts w:asciiTheme="minorHAnsi" w:hAnsiTheme="minorHAnsi" w:cstheme="minorHAnsi"/>
        </w:rPr>
        <w:t>fertiliser, silage, compost, or effluent storage facilities and feeding or stock holding areas</w:t>
      </w:r>
    </w:p>
    <w:p w14:paraId="13BFE76C" w14:textId="20472408" w:rsidR="00F04947" w:rsidRDefault="00F04947" w:rsidP="003455AD">
      <w:pPr>
        <w:spacing w:before="60" w:after="60"/>
        <w:rPr>
          <w:rFonts w:asciiTheme="minorHAnsi" w:hAnsiTheme="minorHAnsi"/>
          <w:lang w:val="en-NZ"/>
        </w:rPr>
      </w:pPr>
      <w:r>
        <w:rPr>
          <w:rFonts w:asciiTheme="minorHAnsi" w:hAnsiTheme="minorHAnsi"/>
          <w:lang w:val="en-NZ"/>
        </w:rPr>
        <w:t>Th</w:t>
      </w:r>
      <w:r w:rsidR="003455AD">
        <w:rPr>
          <w:rFonts w:asciiTheme="minorHAnsi" w:hAnsiTheme="minorHAnsi"/>
          <w:lang w:val="en-NZ"/>
        </w:rPr>
        <w:t>ese am</w:t>
      </w:r>
      <w:r>
        <w:rPr>
          <w:rFonts w:asciiTheme="minorHAnsi" w:hAnsiTheme="minorHAnsi"/>
          <w:lang w:val="en-NZ"/>
        </w:rPr>
        <w:t>e</w:t>
      </w:r>
      <w:r w:rsidR="003455AD">
        <w:rPr>
          <w:rFonts w:asciiTheme="minorHAnsi" w:hAnsiTheme="minorHAnsi"/>
          <w:lang w:val="en-NZ"/>
        </w:rPr>
        <w:t xml:space="preserve">nded provisions strengthen PC10’s focus on P </w:t>
      </w:r>
      <w:r>
        <w:rPr>
          <w:rFonts w:asciiTheme="minorHAnsi" w:hAnsiTheme="minorHAnsi"/>
          <w:lang w:val="en-NZ"/>
        </w:rPr>
        <w:t>i.e. PC10 is not solely about N.</w:t>
      </w:r>
      <w:r w:rsidR="006516B8">
        <w:rPr>
          <w:rFonts w:asciiTheme="minorHAnsi" w:hAnsiTheme="minorHAnsi"/>
          <w:lang w:val="en-NZ"/>
        </w:rPr>
        <w:t xml:space="preserve"> The new recommended critical source area provisions </w:t>
      </w:r>
      <w:r w:rsidR="00D24A3F">
        <w:rPr>
          <w:rFonts w:asciiTheme="minorHAnsi" w:hAnsiTheme="minorHAnsi"/>
          <w:lang w:val="en-NZ"/>
        </w:rPr>
        <w:t xml:space="preserve">(CSAs) in PC10 </w:t>
      </w:r>
      <w:r w:rsidR="006516B8">
        <w:rPr>
          <w:rFonts w:asciiTheme="minorHAnsi" w:hAnsiTheme="minorHAnsi"/>
          <w:lang w:val="en-NZ"/>
        </w:rPr>
        <w:t xml:space="preserve">are particularly important given </w:t>
      </w:r>
      <w:r w:rsidR="00D24A3F">
        <w:rPr>
          <w:rFonts w:asciiTheme="minorHAnsi" w:hAnsiTheme="minorHAnsi"/>
          <w:lang w:val="en-NZ"/>
        </w:rPr>
        <w:t>CSAs can contribute ~80% of total farm P loss from ~20% of the area (McDowell, Land TAG presentation 2016). McDowell also notes (ibid)</w:t>
      </w:r>
      <w:r w:rsidR="0043507E">
        <w:rPr>
          <w:rFonts w:asciiTheme="minorHAnsi" w:hAnsiTheme="minorHAnsi"/>
          <w:lang w:val="en-NZ"/>
        </w:rPr>
        <w:t xml:space="preserve"> </w:t>
      </w:r>
      <w:r w:rsidR="00D24A3F">
        <w:rPr>
          <w:rFonts w:asciiTheme="minorHAnsi" w:hAnsiTheme="minorHAnsi"/>
          <w:lang w:val="en-NZ"/>
        </w:rPr>
        <w:t xml:space="preserve">that in a study across 14 farms/sub-catchments (spread throughout NZ), targeting CSAs only would deliver a 40% reduction in P loss at an average cost of 2% EBIT (earnings before interest and tax). In contrast, a broader approach would reduce P loss by 48% but at a much higher cost of 12% EBIT. </w:t>
      </w:r>
    </w:p>
    <w:p w14:paraId="441DE935" w14:textId="77777777" w:rsidR="00521F05" w:rsidRPr="00521F05" w:rsidRDefault="00521F05" w:rsidP="00521F05">
      <w:pPr>
        <w:numPr>
          <w:ilvl w:val="1"/>
          <w:numId w:val="3"/>
        </w:numPr>
        <w:spacing w:before="240" w:after="60" w:line="264" w:lineRule="auto"/>
        <w:rPr>
          <w:rFonts w:asciiTheme="minorHAnsi" w:hAnsiTheme="minorHAnsi" w:cs="Calibri"/>
          <w:b/>
          <w:sz w:val="24"/>
          <w:szCs w:val="24"/>
          <w:lang w:val="en-NZ"/>
        </w:rPr>
      </w:pPr>
      <w:r w:rsidRPr="00521F05">
        <w:rPr>
          <w:rFonts w:asciiTheme="minorHAnsi" w:hAnsiTheme="minorHAnsi" w:cs="Calibri"/>
          <w:b/>
          <w:sz w:val="24"/>
          <w:szCs w:val="24"/>
          <w:lang w:val="en-NZ"/>
        </w:rPr>
        <w:t xml:space="preserve">P loss </w:t>
      </w:r>
      <w:r>
        <w:rPr>
          <w:rFonts w:asciiTheme="minorHAnsi" w:hAnsiTheme="minorHAnsi" w:cs="Calibri"/>
          <w:b/>
          <w:sz w:val="24"/>
          <w:szCs w:val="24"/>
          <w:lang w:val="en-NZ"/>
        </w:rPr>
        <w:t>within current provisional</w:t>
      </w:r>
      <w:r w:rsidRPr="00521F05">
        <w:rPr>
          <w:rFonts w:asciiTheme="minorHAnsi" w:hAnsiTheme="minorHAnsi" w:cs="Calibri"/>
          <w:b/>
          <w:sz w:val="24"/>
          <w:szCs w:val="24"/>
          <w:lang w:val="en-NZ"/>
        </w:rPr>
        <w:t xml:space="preserve"> NMPs </w:t>
      </w:r>
    </w:p>
    <w:p w14:paraId="4A888153" w14:textId="78AA3AF1" w:rsidR="008050EF" w:rsidRDefault="00F04947" w:rsidP="00DC1D45">
      <w:pPr>
        <w:spacing w:before="60" w:after="60"/>
        <w:rPr>
          <w:rFonts w:asciiTheme="minorHAnsi" w:hAnsiTheme="minorHAnsi"/>
          <w:lang w:val="en-NZ"/>
        </w:rPr>
      </w:pPr>
      <w:r>
        <w:rPr>
          <w:rFonts w:asciiTheme="minorHAnsi" w:hAnsiTheme="minorHAnsi"/>
          <w:lang w:val="en-NZ"/>
        </w:rPr>
        <w:t xml:space="preserve">As with sector promoted good practice, it is difficult to assess what degree of P reduction will occur </w:t>
      </w:r>
      <w:r w:rsidR="00521F05">
        <w:rPr>
          <w:rFonts w:asciiTheme="minorHAnsi" w:hAnsiTheme="minorHAnsi"/>
          <w:lang w:val="en-NZ"/>
        </w:rPr>
        <w:t>because of</w:t>
      </w:r>
      <w:r>
        <w:rPr>
          <w:rFonts w:asciiTheme="minorHAnsi" w:hAnsiTheme="minorHAnsi"/>
          <w:lang w:val="en-NZ"/>
        </w:rPr>
        <w:t xml:space="preserve"> the indirect approach to P mitigation in PC10. Informal discussion with staff </w:t>
      </w:r>
      <w:r w:rsidR="003455AD">
        <w:rPr>
          <w:rFonts w:asciiTheme="minorHAnsi" w:hAnsiTheme="minorHAnsi"/>
          <w:lang w:val="en-NZ"/>
        </w:rPr>
        <w:t xml:space="preserve">(Nov 2016) </w:t>
      </w:r>
      <w:r>
        <w:rPr>
          <w:rFonts w:asciiTheme="minorHAnsi" w:hAnsiTheme="minorHAnsi"/>
          <w:lang w:val="en-NZ"/>
        </w:rPr>
        <w:t xml:space="preserve">suggests that P mitigation has not featured in </w:t>
      </w:r>
      <w:r w:rsidR="00171806">
        <w:rPr>
          <w:rFonts w:asciiTheme="minorHAnsi" w:hAnsiTheme="minorHAnsi"/>
          <w:lang w:val="en-NZ"/>
        </w:rPr>
        <w:t>provisional NMPs to date</w:t>
      </w:r>
      <w:r w:rsidR="00521F05">
        <w:rPr>
          <w:rFonts w:asciiTheme="minorHAnsi" w:hAnsiTheme="minorHAnsi"/>
          <w:lang w:val="en-NZ"/>
        </w:rPr>
        <w:t xml:space="preserve">. </w:t>
      </w:r>
      <w:r w:rsidR="00171806">
        <w:rPr>
          <w:rFonts w:asciiTheme="minorHAnsi" w:hAnsiTheme="minorHAnsi"/>
          <w:lang w:val="en-NZ"/>
        </w:rPr>
        <w:t xml:space="preserve">. </w:t>
      </w:r>
      <w:r w:rsidR="008050EF">
        <w:rPr>
          <w:rFonts w:asciiTheme="minorHAnsi" w:hAnsiTheme="minorHAnsi"/>
          <w:lang w:val="en-NZ"/>
        </w:rPr>
        <w:t xml:space="preserve">A brief review of </w:t>
      </w:r>
      <w:r w:rsidR="001F2E18">
        <w:rPr>
          <w:rFonts w:asciiTheme="minorHAnsi" w:hAnsiTheme="minorHAnsi"/>
          <w:lang w:val="en-NZ"/>
        </w:rPr>
        <w:t xml:space="preserve">two </w:t>
      </w:r>
      <w:r w:rsidR="00C90E27">
        <w:rPr>
          <w:rFonts w:asciiTheme="minorHAnsi" w:hAnsiTheme="minorHAnsi"/>
          <w:lang w:val="en-NZ"/>
        </w:rPr>
        <w:t>completed</w:t>
      </w:r>
      <w:r w:rsidR="008050EF">
        <w:rPr>
          <w:rFonts w:asciiTheme="minorHAnsi" w:hAnsiTheme="minorHAnsi"/>
          <w:lang w:val="en-NZ"/>
        </w:rPr>
        <w:t xml:space="preserve"> </w:t>
      </w:r>
      <w:r w:rsidR="00521F05">
        <w:rPr>
          <w:rFonts w:asciiTheme="minorHAnsi" w:hAnsiTheme="minorHAnsi"/>
          <w:lang w:val="en-NZ"/>
        </w:rPr>
        <w:t xml:space="preserve">(but still provisional) </w:t>
      </w:r>
      <w:r w:rsidR="008050EF">
        <w:rPr>
          <w:rFonts w:asciiTheme="minorHAnsi" w:hAnsiTheme="minorHAnsi"/>
          <w:lang w:val="en-NZ"/>
        </w:rPr>
        <w:t>NMPs indicated that:</w:t>
      </w:r>
    </w:p>
    <w:p w14:paraId="71D63CA5" w14:textId="2B000D56" w:rsidR="008050EF" w:rsidRPr="00016B9C" w:rsidRDefault="008050EF" w:rsidP="004422F5">
      <w:pPr>
        <w:numPr>
          <w:ilvl w:val="0"/>
          <w:numId w:val="17"/>
        </w:numPr>
        <w:spacing w:before="60" w:after="60"/>
        <w:rPr>
          <w:rFonts w:asciiTheme="minorHAnsi" w:hAnsiTheme="minorHAnsi"/>
          <w:lang w:val="en-NZ"/>
        </w:rPr>
      </w:pPr>
      <w:r w:rsidRPr="00016B9C">
        <w:rPr>
          <w:rFonts w:asciiTheme="minorHAnsi" w:hAnsiTheme="minorHAnsi"/>
          <w:lang w:val="en-NZ"/>
        </w:rPr>
        <w:lastRenderedPageBreak/>
        <w:t xml:space="preserve">The NMP includes a ‘Phosphorus loss’ subheading followed by </w:t>
      </w:r>
      <w:r w:rsidR="00016B9C" w:rsidRPr="00016B9C">
        <w:rPr>
          <w:rFonts w:asciiTheme="minorHAnsi" w:hAnsiTheme="minorHAnsi"/>
          <w:lang w:val="en-NZ"/>
        </w:rPr>
        <w:t>a current state</w:t>
      </w:r>
      <w:r w:rsidRPr="00016B9C">
        <w:rPr>
          <w:rFonts w:asciiTheme="minorHAnsi" w:hAnsiTheme="minorHAnsi"/>
          <w:lang w:val="en-NZ"/>
        </w:rPr>
        <w:t xml:space="preserve"> OVERSEER block loss table</w:t>
      </w:r>
      <w:r w:rsidR="00016B9C" w:rsidRPr="00016B9C">
        <w:rPr>
          <w:rFonts w:asciiTheme="minorHAnsi" w:hAnsiTheme="minorHAnsi"/>
          <w:lang w:val="en-NZ"/>
        </w:rPr>
        <w:t xml:space="preserve">, </w:t>
      </w:r>
      <w:r w:rsidR="00016B9C">
        <w:rPr>
          <w:rFonts w:asciiTheme="minorHAnsi" w:hAnsiTheme="minorHAnsi"/>
          <w:lang w:val="en-NZ"/>
        </w:rPr>
        <w:t xml:space="preserve">total P loss and average kgP/ha loss, </w:t>
      </w:r>
      <w:r w:rsidR="00016B9C" w:rsidRPr="00016B9C">
        <w:rPr>
          <w:rFonts w:asciiTheme="minorHAnsi" w:hAnsiTheme="minorHAnsi"/>
          <w:lang w:val="en-NZ"/>
        </w:rPr>
        <w:t xml:space="preserve">followed by </w:t>
      </w:r>
      <w:r w:rsidR="00016B9C">
        <w:rPr>
          <w:rFonts w:asciiTheme="minorHAnsi" w:hAnsiTheme="minorHAnsi"/>
          <w:lang w:val="en-NZ"/>
        </w:rPr>
        <w:t>c</w:t>
      </w:r>
      <w:r w:rsidRPr="00016B9C">
        <w:rPr>
          <w:rFonts w:asciiTheme="minorHAnsi" w:hAnsiTheme="minorHAnsi"/>
          <w:lang w:val="en-NZ"/>
        </w:rPr>
        <w:t xml:space="preserve">omments </w:t>
      </w:r>
      <w:r w:rsidR="00016B9C">
        <w:rPr>
          <w:rFonts w:asciiTheme="minorHAnsi" w:hAnsiTheme="minorHAnsi"/>
          <w:lang w:val="en-NZ"/>
        </w:rPr>
        <w:t xml:space="preserve">e.g. </w:t>
      </w:r>
      <w:r w:rsidRPr="00016B9C">
        <w:rPr>
          <w:rFonts w:asciiTheme="minorHAnsi" w:hAnsiTheme="minorHAnsi"/>
          <w:lang w:val="en-NZ"/>
        </w:rPr>
        <w:t xml:space="preserve">noting </w:t>
      </w:r>
      <w:r w:rsidR="00982DF0">
        <w:rPr>
          <w:rFonts w:asciiTheme="minorHAnsi" w:hAnsiTheme="minorHAnsi"/>
          <w:lang w:val="en-NZ"/>
        </w:rPr>
        <w:t xml:space="preserve">where </w:t>
      </w:r>
      <w:r w:rsidRPr="00016B9C">
        <w:rPr>
          <w:rFonts w:asciiTheme="minorHAnsi" w:hAnsiTheme="minorHAnsi"/>
          <w:lang w:val="en-NZ"/>
        </w:rPr>
        <w:t xml:space="preserve">block losses appear high and </w:t>
      </w:r>
      <w:r w:rsidR="00982DF0">
        <w:rPr>
          <w:rFonts w:asciiTheme="minorHAnsi" w:hAnsiTheme="minorHAnsi"/>
          <w:lang w:val="en-NZ"/>
        </w:rPr>
        <w:t xml:space="preserve">stating the </w:t>
      </w:r>
      <w:r w:rsidRPr="00016B9C">
        <w:rPr>
          <w:rFonts w:asciiTheme="minorHAnsi" w:hAnsiTheme="minorHAnsi"/>
          <w:lang w:val="en-NZ"/>
        </w:rPr>
        <w:t>possible reasons</w:t>
      </w:r>
      <w:r w:rsidR="00016B9C">
        <w:rPr>
          <w:rFonts w:asciiTheme="minorHAnsi" w:hAnsiTheme="minorHAnsi"/>
          <w:lang w:val="en-NZ"/>
        </w:rPr>
        <w:t xml:space="preserve"> for that</w:t>
      </w:r>
      <w:r w:rsidR="00982DF0">
        <w:rPr>
          <w:rFonts w:asciiTheme="minorHAnsi" w:hAnsiTheme="minorHAnsi"/>
          <w:lang w:val="en-NZ"/>
        </w:rPr>
        <w:t xml:space="preserve"> (high Olsen P, low</w:t>
      </w:r>
      <w:r w:rsidR="001F2E18">
        <w:rPr>
          <w:rFonts w:asciiTheme="minorHAnsi" w:hAnsiTheme="minorHAnsi"/>
          <w:lang w:val="en-NZ"/>
        </w:rPr>
        <w:t xml:space="preserve"> soil</w:t>
      </w:r>
      <w:r w:rsidR="00982DF0">
        <w:rPr>
          <w:rFonts w:asciiTheme="minorHAnsi" w:hAnsiTheme="minorHAnsi"/>
          <w:lang w:val="en-NZ"/>
        </w:rPr>
        <w:t xml:space="preserve"> ASC</w:t>
      </w:r>
      <w:r w:rsidR="001F2E18">
        <w:rPr>
          <w:rFonts w:asciiTheme="minorHAnsi" w:hAnsiTheme="minorHAnsi"/>
          <w:lang w:val="en-NZ"/>
        </w:rPr>
        <w:t xml:space="preserve"> (anion storage capacity)</w:t>
      </w:r>
      <w:r w:rsidR="00982DF0">
        <w:rPr>
          <w:rFonts w:asciiTheme="minorHAnsi" w:hAnsiTheme="minorHAnsi"/>
          <w:lang w:val="en-NZ"/>
        </w:rPr>
        <w:t>)</w:t>
      </w:r>
    </w:p>
    <w:p w14:paraId="42E16A92" w14:textId="1757A6E2" w:rsidR="008050EF" w:rsidRDefault="00C90E27" w:rsidP="008050EF">
      <w:pPr>
        <w:numPr>
          <w:ilvl w:val="0"/>
          <w:numId w:val="17"/>
        </w:numPr>
        <w:spacing w:before="60" w:after="60"/>
        <w:rPr>
          <w:rFonts w:asciiTheme="minorHAnsi" w:hAnsiTheme="minorHAnsi"/>
          <w:lang w:val="en-NZ"/>
        </w:rPr>
      </w:pPr>
      <w:r>
        <w:rPr>
          <w:rFonts w:asciiTheme="minorHAnsi" w:hAnsiTheme="minorHAnsi"/>
          <w:lang w:val="en-NZ"/>
        </w:rPr>
        <w:t xml:space="preserve">No </w:t>
      </w:r>
      <w:r w:rsidR="008050EF">
        <w:rPr>
          <w:rFonts w:asciiTheme="minorHAnsi" w:hAnsiTheme="minorHAnsi"/>
          <w:lang w:val="en-NZ"/>
        </w:rPr>
        <w:t xml:space="preserve">actions </w:t>
      </w:r>
      <w:r>
        <w:rPr>
          <w:rFonts w:asciiTheme="minorHAnsi" w:hAnsiTheme="minorHAnsi"/>
          <w:lang w:val="en-NZ"/>
        </w:rPr>
        <w:t xml:space="preserve">explicitly targeted </w:t>
      </w:r>
      <w:r w:rsidR="008050EF">
        <w:rPr>
          <w:rFonts w:asciiTheme="minorHAnsi" w:hAnsiTheme="minorHAnsi"/>
          <w:lang w:val="en-NZ"/>
        </w:rPr>
        <w:t xml:space="preserve">P mitigation although </w:t>
      </w:r>
      <w:r w:rsidR="001F2E18">
        <w:rPr>
          <w:rFonts w:asciiTheme="minorHAnsi" w:hAnsiTheme="minorHAnsi"/>
          <w:lang w:val="en-NZ"/>
        </w:rPr>
        <w:t xml:space="preserve">one </w:t>
      </w:r>
      <w:r>
        <w:rPr>
          <w:rFonts w:asciiTheme="minorHAnsi" w:hAnsiTheme="minorHAnsi"/>
          <w:lang w:val="en-NZ"/>
        </w:rPr>
        <w:t>nominated</w:t>
      </w:r>
      <w:r w:rsidR="00016B9C">
        <w:rPr>
          <w:rFonts w:asciiTheme="minorHAnsi" w:hAnsiTheme="minorHAnsi"/>
          <w:lang w:val="en-NZ"/>
        </w:rPr>
        <w:t xml:space="preserve"> </w:t>
      </w:r>
      <w:r w:rsidR="008050EF">
        <w:rPr>
          <w:rFonts w:asciiTheme="minorHAnsi" w:hAnsiTheme="minorHAnsi"/>
          <w:lang w:val="en-NZ"/>
        </w:rPr>
        <w:t xml:space="preserve">NPKS fertiliser regime </w:t>
      </w:r>
      <w:r>
        <w:rPr>
          <w:rFonts w:asciiTheme="minorHAnsi" w:hAnsiTheme="minorHAnsi"/>
          <w:lang w:val="en-NZ"/>
        </w:rPr>
        <w:t xml:space="preserve">may have achieved this </w:t>
      </w:r>
      <w:r w:rsidR="00982DF0">
        <w:rPr>
          <w:rFonts w:asciiTheme="minorHAnsi" w:hAnsiTheme="minorHAnsi"/>
          <w:lang w:val="en-NZ"/>
        </w:rPr>
        <w:t xml:space="preserve">in part. As noted </w:t>
      </w:r>
      <w:r w:rsidR="001F2E18">
        <w:rPr>
          <w:rFonts w:asciiTheme="minorHAnsi" w:hAnsiTheme="minorHAnsi"/>
          <w:lang w:val="en-NZ"/>
        </w:rPr>
        <w:t>above</w:t>
      </w:r>
      <w:r w:rsidR="00982DF0">
        <w:rPr>
          <w:rFonts w:asciiTheme="minorHAnsi" w:hAnsiTheme="minorHAnsi"/>
          <w:lang w:val="en-NZ"/>
        </w:rPr>
        <w:t xml:space="preserve">, </w:t>
      </w:r>
      <w:r w:rsidR="008050EF">
        <w:rPr>
          <w:rFonts w:asciiTheme="minorHAnsi" w:hAnsiTheme="minorHAnsi"/>
          <w:lang w:val="en-NZ"/>
        </w:rPr>
        <w:t xml:space="preserve">some N </w:t>
      </w:r>
      <w:r w:rsidR="00982DF0">
        <w:rPr>
          <w:rFonts w:asciiTheme="minorHAnsi" w:hAnsiTheme="minorHAnsi"/>
          <w:lang w:val="en-NZ"/>
        </w:rPr>
        <w:t xml:space="preserve">mitigation </w:t>
      </w:r>
      <w:r w:rsidR="008050EF">
        <w:rPr>
          <w:rFonts w:asciiTheme="minorHAnsi" w:hAnsiTheme="minorHAnsi"/>
          <w:lang w:val="en-NZ"/>
        </w:rPr>
        <w:t xml:space="preserve">actions </w:t>
      </w:r>
      <w:r w:rsidR="001F2E18">
        <w:rPr>
          <w:rFonts w:asciiTheme="minorHAnsi" w:hAnsiTheme="minorHAnsi"/>
          <w:lang w:val="en-NZ"/>
        </w:rPr>
        <w:t>will</w:t>
      </w:r>
      <w:r w:rsidR="003D0C17">
        <w:rPr>
          <w:rFonts w:asciiTheme="minorHAnsi" w:hAnsiTheme="minorHAnsi"/>
          <w:lang w:val="en-NZ"/>
        </w:rPr>
        <w:t xml:space="preserve"> </w:t>
      </w:r>
      <w:r w:rsidR="00982DF0">
        <w:rPr>
          <w:rFonts w:asciiTheme="minorHAnsi" w:hAnsiTheme="minorHAnsi"/>
          <w:lang w:val="en-NZ"/>
        </w:rPr>
        <w:t xml:space="preserve">have </w:t>
      </w:r>
      <w:r w:rsidR="001F2E18">
        <w:rPr>
          <w:rFonts w:asciiTheme="minorHAnsi" w:hAnsiTheme="minorHAnsi"/>
          <w:lang w:val="en-NZ"/>
        </w:rPr>
        <w:t xml:space="preserve">some </w:t>
      </w:r>
      <w:r w:rsidR="00982DF0">
        <w:rPr>
          <w:rFonts w:asciiTheme="minorHAnsi" w:hAnsiTheme="minorHAnsi"/>
          <w:lang w:val="en-NZ"/>
        </w:rPr>
        <w:t>‘P bycatch’</w:t>
      </w:r>
    </w:p>
    <w:p w14:paraId="5CC23AC7" w14:textId="77777777" w:rsidR="00521F05" w:rsidRDefault="00521F05" w:rsidP="00521F05">
      <w:pPr>
        <w:spacing w:before="60" w:after="60"/>
        <w:rPr>
          <w:rFonts w:asciiTheme="minorHAnsi" w:hAnsiTheme="minorHAnsi"/>
          <w:lang w:val="en-NZ"/>
        </w:rPr>
      </w:pPr>
      <w:r>
        <w:rPr>
          <w:rFonts w:asciiTheme="minorHAnsi" w:hAnsiTheme="minorHAnsi"/>
          <w:lang w:val="en-NZ"/>
        </w:rPr>
        <w:t xml:space="preserve">It would be possible to review additional completed provisional NMPs. For farms over 40 ha, there are 8 completed dairy NMPs and 15 completed drystock NMPs (as at late November 2016). </w:t>
      </w:r>
      <w:r w:rsidR="00FC39F3" w:rsidRPr="000D1385">
        <w:rPr>
          <w:rFonts w:asciiTheme="minorHAnsi" w:hAnsiTheme="minorHAnsi"/>
          <w:lang w:val="en-NZ"/>
        </w:rPr>
        <w:t xml:space="preserve">In addition to the 37 completed NMPs </w:t>
      </w:r>
      <w:r w:rsidR="00FC39F3">
        <w:rPr>
          <w:rFonts w:asciiTheme="minorHAnsi" w:hAnsiTheme="minorHAnsi"/>
          <w:lang w:val="en-NZ"/>
        </w:rPr>
        <w:t xml:space="preserve">(all property sizes), there are </w:t>
      </w:r>
      <w:r w:rsidR="00FC39F3" w:rsidRPr="000D1385">
        <w:rPr>
          <w:rFonts w:asciiTheme="minorHAnsi" w:hAnsiTheme="minorHAnsi"/>
          <w:lang w:val="en-NZ"/>
        </w:rPr>
        <w:t>a further 17 NMPs in various stages of preparation and an additional 19 Current State Assessments underway</w:t>
      </w:r>
      <w:r w:rsidR="00FC39F3">
        <w:rPr>
          <w:rFonts w:asciiTheme="minorHAnsi" w:hAnsiTheme="minorHAnsi"/>
          <w:lang w:val="en-NZ"/>
        </w:rPr>
        <w:t xml:space="preserve"> (pers. Comm, Rosemary Cross, Nov 2016).</w:t>
      </w:r>
    </w:p>
    <w:p w14:paraId="2255D909" w14:textId="77777777" w:rsidR="00A72A4F" w:rsidRPr="006250CE" w:rsidRDefault="006250CE" w:rsidP="006250CE">
      <w:pPr>
        <w:numPr>
          <w:ilvl w:val="1"/>
          <w:numId w:val="3"/>
        </w:numPr>
        <w:spacing w:before="240" w:after="60" w:line="264" w:lineRule="auto"/>
        <w:rPr>
          <w:rFonts w:asciiTheme="minorHAnsi" w:hAnsiTheme="minorHAnsi" w:cs="Calibri"/>
          <w:b/>
          <w:sz w:val="24"/>
          <w:szCs w:val="24"/>
          <w:lang w:val="en-NZ"/>
        </w:rPr>
      </w:pPr>
      <w:r w:rsidRPr="006250CE">
        <w:rPr>
          <w:rFonts w:asciiTheme="minorHAnsi" w:hAnsiTheme="minorHAnsi" w:cs="Calibri"/>
          <w:b/>
          <w:sz w:val="24"/>
          <w:szCs w:val="24"/>
          <w:lang w:val="en-NZ"/>
        </w:rPr>
        <w:t xml:space="preserve">Assessing </w:t>
      </w:r>
      <w:r>
        <w:rPr>
          <w:rFonts w:asciiTheme="minorHAnsi" w:hAnsiTheme="minorHAnsi" w:cs="Calibri"/>
          <w:b/>
          <w:sz w:val="24"/>
          <w:szCs w:val="24"/>
          <w:lang w:val="en-NZ"/>
        </w:rPr>
        <w:t>likely PC10 ‘</w:t>
      </w:r>
      <w:r w:rsidRPr="006250CE">
        <w:rPr>
          <w:rFonts w:asciiTheme="minorHAnsi" w:hAnsiTheme="minorHAnsi" w:cs="Calibri"/>
          <w:b/>
          <w:sz w:val="24"/>
          <w:szCs w:val="24"/>
          <w:lang w:val="en-NZ"/>
        </w:rPr>
        <w:t>P bycatch</w:t>
      </w:r>
      <w:r>
        <w:rPr>
          <w:rFonts w:asciiTheme="minorHAnsi" w:hAnsiTheme="minorHAnsi" w:cs="Calibri"/>
          <w:b/>
          <w:sz w:val="24"/>
          <w:szCs w:val="24"/>
          <w:lang w:val="en-NZ"/>
        </w:rPr>
        <w:t>’</w:t>
      </w:r>
      <w:r w:rsidRPr="006250CE">
        <w:rPr>
          <w:rFonts w:asciiTheme="minorHAnsi" w:hAnsiTheme="minorHAnsi" w:cs="Calibri"/>
          <w:b/>
          <w:sz w:val="24"/>
          <w:szCs w:val="24"/>
          <w:lang w:val="en-NZ"/>
        </w:rPr>
        <w:t xml:space="preserve"> by r</w:t>
      </w:r>
      <w:r w:rsidR="00A72A4F" w:rsidRPr="006250CE">
        <w:rPr>
          <w:rFonts w:asciiTheme="minorHAnsi" w:hAnsiTheme="minorHAnsi" w:cs="Calibri"/>
          <w:b/>
          <w:sz w:val="24"/>
          <w:szCs w:val="24"/>
          <w:lang w:val="en-NZ"/>
        </w:rPr>
        <w:t>eview</w:t>
      </w:r>
      <w:r w:rsidRPr="006250CE">
        <w:rPr>
          <w:rFonts w:asciiTheme="minorHAnsi" w:hAnsiTheme="minorHAnsi" w:cs="Calibri"/>
          <w:b/>
          <w:sz w:val="24"/>
          <w:szCs w:val="24"/>
          <w:lang w:val="en-NZ"/>
        </w:rPr>
        <w:t>ing OVERSEER files</w:t>
      </w:r>
    </w:p>
    <w:p w14:paraId="5273E198" w14:textId="77777777" w:rsidR="000343B8" w:rsidRDefault="000343B8" w:rsidP="00147F96">
      <w:pPr>
        <w:spacing w:after="120"/>
        <w:rPr>
          <w:rFonts w:asciiTheme="minorHAnsi" w:hAnsiTheme="minorHAnsi"/>
          <w:lang w:val="en-NZ"/>
        </w:rPr>
      </w:pPr>
      <w:r>
        <w:rPr>
          <w:rFonts w:asciiTheme="minorHAnsi" w:hAnsiTheme="minorHAnsi"/>
          <w:lang w:val="en-NZ"/>
        </w:rPr>
        <w:t xml:space="preserve">Three pairs of OVERSEER files were compared to check what level of ‘P bycatch’ may occur when the focus is on N. The comparisons were: </w:t>
      </w:r>
    </w:p>
    <w:p w14:paraId="42A26E51" w14:textId="77777777" w:rsidR="000343B8" w:rsidRDefault="000343B8" w:rsidP="000343B8">
      <w:pPr>
        <w:numPr>
          <w:ilvl w:val="0"/>
          <w:numId w:val="17"/>
        </w:numPr>
        <w:spacing w:before="60" w:after="60"/>
        <w:rPr>
          <w:rFonts w:asciiTheme="minorHAnsi" w:hAnsiTheme="minorHAnsi"/>
          <w:lang w:val="en-NZ"/>
        </w:rPr>
      </w:pPr>
      <w:r>
        <w:rPr>
          <w:rFonts w:asciiTheme="minorHAnsi" w:hAnsiTheme="minorHAnsi"/>
          <w:lang w:val="en-NZ"/>
        </w:rPr>
        <w:t>One dairy and one drystock example</w:t>
      </w:r>
      <w:r w:rsidR="00147F96">
        <w:rPr>
          <w:rFonts w:asciiTheme="minorHAnsi" w:hAnsiTheme="minorHAnsi"/>
          <w:lang w:val="en-NZ"/>
        </w:rPr>
        <w:t xml:space="preserve">, both </w:t>
      </w:r>
      <w:r>
        <w:rPr>
          <w:rFonts w:asciiTheme="minorHAnsi" w:hAnsiTheme="minorHAnsi"/>
          <w:lang w:val="en-NZ"/>
        </w:rPr>
        <w:t>comparing ‘</w:t>
      </w:r>
      <w:r w:rsidR="00727BC1">
        <w:rPr>
          <w:rFonts w:asciiTheme="minorHAnsi" w:hAnsiTheme="minorHAnsi"/>
          <w:lang w:val="en-NZ"/>
        </w:rPr>
        <w:t>benchmark</w:t>
      </w:r>
      <w:r>
        <w:rPr>
          <w:rFonts w:asciiTheme="minorHAnsi" w:hAnsiTheme="minorHAnsi"/>
          <w:lang w:val="en-NZ"/>
        </w:rPr>
        <w:t>’ vs ‘2032 NDA’ files</w:t>
      </w:r>
    </w:p>
    <w:p w14:paraId="6C6EFB0E" w14:textId="77777777" w:rsidR="00147F96" w:rsidRDefault="000343B8" w:rsidP="000343B8">
      <w:pPr>
        <w:numPr>
          <w:ilvl w:val="0"/>
          <w:numId w:val="17"/>
        </w:numPr>
        <w:spacing w:before="60" w:after="60"/>
        <w:rPr>
          <w:rFonts w:asciiTheme="minorHAnsi" w:hAnsiTheme="minorHAnsi"/>
          <w:lang w:val="en-NZ"/>
        </w:rPr>
      </w:pPr>
      <w:r>
        <w:rPr>
          <w:rFonts w:asciiTheme="minorHAnsi" w:hAnsiTheme="minorHAnsi"/>
          <w:lang w:val="en-NZ"/>
        </w:rPr>
        <w:t>The PC10 drystock reference files, comparing</w:t>
      </w:r>
      <w:r w:rsidR="00147F96">
        <w:rPr>
          <w:rFonts w:asciiTheme="minorHAnsi" w:hAnsiTheme="minorHAnsi"/>
          <w:lang w:val="en-NZ"/>
        </w:rPr>
        <w:t>:</w:t>
      </w:r>
    </w:p>
    <w:p w14:paraId="78A23BEC" w14:textId="77777777" w:rsidR="00147F96" w:rsidRDefault="000343B8" w:rsidP="00147F96">
      <w:pPr>
        <w:numPr>
          <w:ilvl w:val="1"/>
          <w:numId w:val="17"/>
        </w:numPr>
        <w:spacing w:before="60" w:after="60"/>
        <w:rPr>
          <w:rFonts w:asciiTheme="minorHAnsi" w:hAnsiTheme="minorHAnsi"/>
          <w:lang w:val="en-NZ"/>
        </w:rPr>
      </w:pPr>
      <w:r>
        <w:rPr>
          <w:rFonts w:asciiTheme="minorHAnsi" w:hAnsiTheme="minorHAnsi"/>
          <w:lang w:val="en-NZ"/>
        </w:rPr>
        <w:t xml:space="preserve">the ‘as notified’ </w:t>
      </w:r>
      <w:r w:rsidR="00147F96">
        <w:rPr>
          <w:rFonts w:asciiTheme="minorHAnsi" w:hAnsiTheme="minorHAnsi"/>
          <w:lang w:val="en-NZ"/>
        </w:rPr>
        <w:t xml:space="preserve">file that </w:t>
      </w:r>
      <w:r>
        <w:rPr>
          <w:rFonts w:asciiTheme="minorHAnsi" w:hAnsiTheme="minorHAnsi"/>
          <w:lang w:val="en-NZ"/>
        </w:rPr>
        <w:t>target</w:t>
      </w:r>
      <w:r w:rsidR="00147F96">
        <w:rPr>
          <w:rFonts w:asciiTheme="minorHAnsi" w:hAnsiTheme="minorHAnsi"/>
          <w:lang w:val="en-NZ"/>
        </w:rPr>
        <w:t>ed</w:t>
      </w:r>
      <w:r>
        <w:rPr>
          <w:rFonts w:asciiTheme="minorHAnsi" w:hAnsiTheme="minorHAnsi"/>
          <w:lang w:val="en-NZ"/>
        </w:rPr>
        <w:t xml:space="preserve"> the average drystock NDA </w:t>
      </w:r>
      <w:r w:rsidR="00147F96">
        <w:rPr>
          <w:rFonts w:asciiTheme="minorHAnsi" w:hAnsiTheme="minorHAnsi"/>
          <w:lang w:val="en-NZ"/>
        </w:rPr>
        <w:t xml:space="preserve">with </w:t>
      </w:r>
      <w:r>
        <w:rPr>
          <w:rFonts w:asciiTheme="minorHAnsi" w:hAnsiTheme="minorHAnsi"/>
          <w:lang w:val="en-NZ"/>
        </w:rPr>
        <w:t>~27 kgN/ha/yr in OVERSEER v6.2.3</w:t>
      </w:r>
    </w:p>
    <w:p w14:paraId="02E1C60C" w14:textId="77777777" w:rsidR="008050EF" w:rsidRPr="008050EF" w:rsidRDefault="000343B8" w:rsidP="00147F96">
      <w:pPr>
        <w:numPr>
          <w:ilvl w:val="1"/>
          <w:numId w:val="17"/>
        </w:numPr>
        <w:spacing w:before="60" w:after="60"/>
        <w:rPr>
          <w:rFonts w:asciiTheme="minorHAnsi" w:hAnsiTheme="minorHAnsi"/>
          <w:lang w:val="en-NZ"/>
        </w:rPr>
      </w:pPr>
      <w:r>
        <w:rPr>
          <w:rFonts w:asciiTheme="minorHAnsi" w:hAnsiTheme="minorHAnsi"/>
          <w:lang w:val="en-NZ"/>
        </w:rPr>
        <w:t xml:space="preserve">the revised file that aims to be representative of all benchmarked drystock </w:t>
      </w:r>
    </w:p>
    <w:p w14:paraId="2A7770D5" w14:textId="77777777" w:rsidR="00147F96" w:rsidRDefault="00147F96" w:rsidP="00147F96">
      <w:pPr>
        <w:spacing w:after="120"/>
        <w:rPr>
          <w:rFonts w:asciiTheme="minorHAnsi" w:hAnsiTheme="minorHAnsi"/>
          <w:lang w:val="en-NZ"/>
        </w:rPr>
      </w:pPr>
      <w:r>
        <w:rPr>
          <w:rFonts w:asciiTheme="minorHAnsi" w:hAnsiTheme="minorHAnsi"/>
          <w:lang w:val="en-NZ"/>
        </w:rPr>
        <w:t>The results of these comparisons are summarised in the table below:</w:t>
      </w:r>
    </w:p>
    <w:tbl>
      <w:tblPr>
        <w:tblStyle w:val="TableGrid"/>
        <w:tblW w:w="0" w:type="auto"/>
        <w:tblLook w:val="04A0" w:firstRow="1" w:lastRow="0" w:firstColumn="1" w:lastColumn="0" w:noHBand="0" w:noVBand="1"/>
      </w:tblPr>
      <w:tblGrid>
        <w:gridCol w:w="1571"/>
        <w:gridCol w:w="1054"/>
        <w:gridCol w:w="1054"/>
        <w:gridCol w:w="5950"/>
      </w:tblGrid>
      <w:tr w:rsidR="00D048D1" w14:paraId="6EB67B29" w14:textId="77777777" w:rsidTr="00FD10D1">
        <w:tc>
          <w:tcPr>
            <w:tcW w:w="0" w:type="auto"/>
          </w:tcPr>
          <w:p w14:paraId="4330773E" w14:textId="77777777" w:rsidR="00727BC1" w:rsidRPr="00D048D1" w:rsidRDefault="00727BC1" w:rsidP="00147F96">
            <w:pPr>
              <w:spacing w:before="60" w:after="60"/>
              <w:rPr>
                <w:rFonts w:asciiTheme="minorHAnsi" w:hAnsiTheme="minorHAnsi"/>
                <w:b/>
                <w:lang w:val="en-NZ"/>
              </w:rPr>
            </w:pPr>
            <w:r w:rsidRPr="00D048D1">
              <w:rPr>
                <w:rFonts w:asciiTheme="minorHAnsi" w:hAnsiTheme="minorHAnsi"/>
                <w:b/>
                <w:lang w:val="en-NZ"/>
              </w:rPr>
              <w:t>BM to NDA comparison</w:t>
            </w:r>
          </w:p>
        </w:tc>
        <w:tc>
          <w:tcPr>
            <w:tcW w:w="0" w:type="auto"/>
          </w:tcPr>
          <w:p w14:paraId="355B6A87" w14:textId="77777777" w:rsidR="00D048D1" w:rsidRDefault="00D048D1" w:rsidP="00147F96">
            <w:pPr>
              <w:spacing w:before="60" w:after="60"/>
              <w:rPr>
                <w:rFonts w:asciiTheme="minorHAnsi" w:hAnsiTheme="minorHAnsi"/>
                <w:b/>
                <w:lang w:val="en-NZ"/>
              </w:rPr>
            </w:pPr>
            <w:r>
              <w:rPr>
                <w:rFonts w:asciiTheme="minorHAnsi" w:hAnsiTheme="minorHAnsi"/>
                <w:b/>
                <w:lang w:val="en-NZ"/>
              </w:rPr>
              <w:t>Decrease</w:t>
            </w:r>
          </w:p>
          <w:p w14:paraId="0F129131" w14:textId="77777777" w:rsidR="00727BC1" w:rsidRPr="00D048D1" w:rsidRDefault="00B21D53" w:rsidP="00147F96">
            <w:pPr>
              <w:spacing w:before="60" w:after="60"/>
              <w:rPr>
                <w:rFonts w:asciiTheme="minorHAnsi" w:hAnsiTheme="minorHAnsi"/>
                <w:b/>
                <w:lang w:val="en-NZ"/>
              </w:rPr>
            </w:pPr>
            <w:r w:rsidRPr="00D048D1">
              <w:rPr>
                <w:rFonts w:asciiTheme="minorHAnsi" w:hAnsiTheme="minorHAnsi"/>
                <w:b/>
                <w:lang w:val="en-NZ"/>
              </w:rPr>
              <w:t>in N loss</w:t>
            </w:r>
          </w:p>
        </w:tc>
        <w:tc>
          <w:tcPr>
            <w:tcW w:w="0" w:type="auto"/>
          </w:tcPr>
          <w:p w14:paraId="5658B79A" w14:textId="77777777" w:rsidR="00D048D1" w:rsidRDefault="00D048D1" w:rsidP="00147F96">
            <w:pPr>
              <w:spacing w:before="60" w:after="60"/>
              <w:rPr>
                <w:rFonts w:asciiTheme="minorHAnsi" w:hAnsiTheme="minorHAnsi"/>
                <w:b/>
                <w:lang w:val="en-NZ"/>
              </w:rPr>
            </w:pPr>
            <w:r>
              <w:rPr>
                <w:rFonts w:asciiTheme="minorHAnsi" w:hAnsiTheme="minorHAnsi"/>
                <w:b/>
                <w:lang w:val="en-NZ"/>
              </w:rPr>
              <w:t>Decrease</w:t>
            </w:r>
          </w:p>
          <w:p w14:paraId="24886EA1" w14:textId="77777777" w:rsidR="00727BC1" w:rsidRPr="00D048D1" w:rsidRDefault="00B21D53" w:rsidP="00147F96">
            <w:pPr>
              <w:spacing w:before="60" w:after="60"/>
              <w:rPr>
                <w:rFonts w:asciiTheme="minorHAnsi" w:hAnsiTheme="minorHAnsi"/>
                <w:b/>
                <w:lang w:val="en-NZ"/>
              </w:rPr>
            </w:pPr>
            <w:r w:rsidRPr="00D048D1">
              <w:rPr>
                <w:rFonts w:asciiTheme="minorHAnsi" w:hAnsiTheme="minorHAnsi"/>
                <w:b/>
                <w:lang w:val="en-NZ"/>
              </w:rPr>
              <w:t>in P loss</w:t>
            </w:r>
          </w:p>
        </w:tc>
        <w:tc>
          <w:tcPr>
            <w:tcW w:w="0" w:type="auto"/>
          </w:tcPr>
          <w:p w14:paraId="2108EE9B" w14:textId="77777777" w:rsidR="00727BC1" w:rsidRPr="00D048D1" w:rsidRDefault="0085654F" w:rsidP="00147F96">
            <w:pPr>
              <w:spacing w:before="60" w:after="60"/>
              <w:rPr>
                <w:rFonts w:asciiTheme="minorHAnsi" w:hAnsiTheme="minorHAnsi"/>
                <w:b/>
                <w:lang w:val="en-NZ"/>
              </w:rPr>
            </w:pPr>
            <w:r w:rsidRPr="00D048D1">
              <w:rPr>
                <w:rFonts w:asciiTheme="minorHAnsi" w:hAnsiTheme="minorHAnsi"/>
                <w:b/>
                <w:lang w:val="en-NZ"/>
              </w:rPr>
              <w:t>Comment</w:t>
            </w:r>
          </w:p>
        </w:tc>
      </w:tr>
      <w:tr w:rsidR="00D048D1" w14:paraId="6C561D4D" w14:textId="77777777" w:rsidTr="00D048D1">
        <w:tc>
          <w:tcPr>
            <w:tcW w:w="0" w:type="auto"/>
          </w:tcPr>
          <w:p w14:paraId="699FBF57" w14:textId="77777777" w:rsidR="00727BC1" w:rsidRPr="00D048D1" w:rsidRDefault="00727BC1" w:rsidP="00147F96">
            <w:pPr>
              <w:spacing w:before="60" w:after="60"/>
              <w:rPr>
                <w:rFonts w:asciiTheme="minorHAnsi" w:hAnsiTheme="minorHAnsi"/>
                <w:b/>
                <w:lang w:val="en-NZ"/>
              </w:rPr>
            </w:pPr>
            <w:r w:rsidRPr="00D048D1">
              <w:rPr>
                <w:rFonts w:asciiTheme="minorHAnsi" w:hAnsiTheme="minorHAnsi"/>
                <w:b/>
                <w:lang w:val="en-NZ"/>
              </w:rPr>
              <w:t>real dairy farm</w:t>
            </w:r>
          </w:p>
        </w:tc>
        <w:tc>
          <w:tcPr>
            <w:tcW w:w="0" w:type="auto"/>
          </w:tcPr>
          <w:p w14:paraId="307C58BA" w14:textId="77777777" w:rsidR="00727BC1" w:rsidRDefault="00B21D53" w:rsidP="00147F96">
            <w:pPr>
              <w:spacing w:before="60" w:after="60"/>
              <w:rPr>
                <w:rFonts w:asciiTheme="minorHAnsi" w:hAnsiTheme="minorHAnsi"/>
                <w:lang w:val="en-NZ"/>
              </w:rPr>
            </w:pPr>
            <w:r>
              <w:rPr>
                <w:rFonts w:asciiTheme="minorHAnsi" w:hAnsiTheme="minorHAnsi"/>
                <w:lang w:val="en-NZ"/>
              </w:rPr>
              <w:t>14%</w:t>
            </w:r>
          </w:p>
        </w:tc>
        <w:tc>
          <w:tcPr>
            <w:tcW w:w="0" w:type="auto"/>
          </w:tcPr>
          <w:p w14:paraId="2D64B588" w14:textId="77777777" w:rsidR="00727BC1" w:rsidRDefault="00B21D53" w:rsidP="00147F96">
            <w:pPr>
              <w:spacing w:before="60" w:after="60"/>
              <w:rPr>
                <w:rFonts w:asciiTheme="minorHAnsi" w:hAnsiTheme="minorHAnsi"/>
                <w:lang w:val="en-NZ"/>
              </w:rPr>
            </w:pPr>
            <w:r>
              <w:rPr>
                <w:rFonts w:asciiTheme="minorHAnsi" w:hAnsiTheme="minorHAnsi"/>
                <w:lang w:val="en-NZ"/>
              </w:rPr>
              <w:t>34%</w:t>
            </w:r>
          </w:p>
        </w:tc>
        <w:tc>
          <w:tcPr>
            <w:tcW w:w="0" w:type="auto"/>
          </w:tcPr>
          <w:p w14:paraId="0B94F3B5" w14:textId="18A9E8CC" w:rsidR="00727BC1" w:rsidRDefault="00B21D53" w:rsidP="00147F96">
            <w:pPr>
              <w:spacing w:before="60" w:after="60"/>
              <w:rPr>
                <w:rFonts w:asciiTheme="minorHAnsi" w:hAnsiTheme="minorHAnsi"/>
                <w:lang w:val="en-NZ"/>
              </w:rPr>
            </w:pPr>
            <w:r>
              <w:rPr>
                <w:rFonts w:asciiTheme="minorHAnsi" w:hAnsiTheme="minorHAnsi"/>
                <w:lang w:val="en-NZ"/>
              </w:rPr>
              <w:t>An unusually low N reduction</w:t>
            </w:r>
            <w:r w:rsidR="0085654F">
              <w:rPr>
                <w:rFonts w:asciiTheme="minorHAnsi" w:hAnsiTheme="minorHAnsi"/>
                <w:lang w:val="en-NZ"/>
              </w:rPr>
              <w:t xml:space="preserve"> with an unusually high P reduction. </w:t>
            </w:r>
            <w:r w:rsidR="00D048D1">
              <w:rPr>
                <w:rFonts w:asciiTheme="minorHAnsi" w:hAnsiTheme="minorHAnsi"/>
                <w:lang w:val="en-NZ"/>
              </w:rPr>
              <w:t xml:space="preserve">Actions included less N fert, no crop, effluent upgrade but also higher </w:t>
            </w:r>
            <w:r w:rsidR="001F2E18">
              <w:rPr>
                <w:rFonts w:asciiTheme="minorHAnsi" w:hAnsiTheme="minorHAnsi"/>
                <w:lang w:val="en-NZ"/>
              </w:rPr>
              <w:t>stocking rate</w:t>
            </w:r>
            <w:r w:rsidR="00D048D1">
              <w:rPr>
                <w:rFonts w:asciiTheme="minorHAnsi" w:hAnsiTheme="minorHAnsi"/>
                <w:lang w:val="en-NZ"/>
              </w:rPr>
              <w:t xml:space="preserve">. </w:t>
            </w:r>
            <w:r w:rsidR="0085654F">
              <w:rPr>
                <w:rFonts w:asciiTheme="minorHAnsi" w:hAnsiTheme="minorHAnsi"/>
                <w:lang w:val="en-NZ"/>
              </w:rPr>
              <w:t xml:space="preserve">Current state </w:t>
            </w:r>
            <w:r w:rsidR="00D048D1">
              <w:rPr>
                <w:rFonts w:asciiTheme="minorHAnsi" w:hAnsiTheme="minorHAnsi"/>
                <w:lang w:val="en-NZ"/>
              </w:rPr>
              <w:t xml:space="preserve">N &amp; P </w:t>
            </w:r>
            <w:r w:rsidR="0085654F">
              <w:rPr>
                <w:rFonts w:asciiTheme="minorHAnsi" w:hAnsiTheme="minorHAnsi"/>
                <w:lang w:val="en-NZ"/>
              </w:rPr>
              <w:t xml:space="preserve">losses are lower </w:t>
            </w:r>
            <w:r w:rsidR="00D048D1">
              <w:rPr>
                <w:rFonts w:asciiTheme="minorHAnsi" w:hAnsiTheme="minorHAnsi"/>
                <w:lang w:val="en-NZ"/>
              </w:rPr>
              <w:t>than either BM or NDA</w:t>
            </w:r>
            <w:r w:rsidR="0085654F">
              <w:rPr>
                <w:rFonts w:asciiTheme="minorHAnsi" w:hAnsiTheme="minorHAnsi"/>
                <w:lang w:val="en-NZ"/>
              </w:rPr>
              <w:t xml:space="preserve">. </w:t>
            </w:r>
          </w:p>
        </w:tc>
      </w:tr>
      <w:tr w:rsidR="00D048D1" w14:paraId="4F1C98FE" w14:textId="77777777" w:rsidTr="00D048D1">
        <w:tc>
          <w:tcPr>
            <w:tcW w:w="0" w:type="auto"/>
          </w:tcPr>
          <w:p w14:paraId="3EAEF5CE" w14:textId="77777777" w:rsidR="00727BC1" w:rsidRPr="00D048D1" w:rsidRDefault="00727BC1" w:rsidP="00147F96">
            <w:pPr>
              <w:spacing w:before="60" w:after="60"/>
              <w:rPr>
                <w:rFonts w:asciiTheme="minorHAnsi" w:hAnsiTheme="minorHAnsi"/>
                <w:b/>
                <w:lang w:val="en-NZ"/>
              </w:rPr>
            </w:pPr>
            <w:r w:rsidRPr="00D048D1">
              <w:rPr>
                <w:rFonts w:asciiTheme="minorHAnsi" w:hAnsiTheme="minorHAnsi"/>
                <w:b/>
                <w:lang w:val="en-NZ"/>
              </w:rPr>
              <w:t>real drystock farm</w:t>
            </w:r>
          </w:p>
        </w:tc>
        <w:tc>
          <w:tcPr>
            <w:tcW w:w="0" w:type="auto"/>
          </w:tcPr>
          <w:p w14:paraId="5918A9CA" w14:textId="77777777" w:rsidR="00727BC1" w:rsidRDefault="0085654F" w:rsidP="00147F96">
            <w:pPr>
              <w:spacing w:before="60" w:after="60"/>
              <w:rPr>
                <w:rFonts w:asciiTheme="minorHAnsi" w:hAnsiTheme="minorHAnsi"/>
                <w:lang w:val="en-NZ"/>
              </w:rPr>
            </w:pPr>
            <w:r>
              <w:rPr>
                <w:rFonts w:asciiTheme="minorHAnsi" w:hAnsiTheme="minorHAnsi"/>
                <w:lang w:val="en-NZ"/>
              </w:rPr>
              <w:t>0%</w:t>
            </w:r>
          </w:p>
        </w:tc>
        <w:tc>
          <w:tcPr>
            <w:tcW w:w="0" w:type="auto"/>
          </w:tcPr>
          <w:p w14:paraId="22368EF0" w14:textId="77777777" w:rsidR="00727BC1" w:rsidRDefault="0085654F" w:rsidP="00147F96">
            <w:pPr>
              <w:spacing w:before="60" w:after="60"/>
              <w:rPr>
                <w:rFonts w:asciiTheme="minorHAnsi" w:hAnsiTheme="minorHAnsi"/>
                <w:lang w:val="en-NZ"/>
              </w:rPr>
            </w:pPr>
            <w:r>
              <w:rPr>
                <w:rFonts w:asciiTheme="minorHAnsi" w:hAnsiTheme="minorHAnsi"/>
                <w:lang w:val="en-NZ"/>
              </w:rPr>
              <w:t>22%</w:t>
            </w:r>
          </w:p>
        </w:tc>
        <w:tc>
          <w:tcPr>
            <w:tcW w:w="0" w:type="auto"/>
          </w:tcPr>
          <w:p w14:paraId="22165DE3" w14:textId="77777777" w:rsidR="00727BC1" w:rsidRDefault="00D048D1" w:rsidP="00147F96">
            <w:pPr>
              <w:spacing w:before="60" w:after="60"/>
              <w:rPr>
                <w:rFonts w:asciiTheme="minorHAnsi" w:hAnsiTheme="minorHAnsi"/>
                <w:lang w:val="en-NZ"/>
              </w:rPr>
            </w:pPr>
            <w:r>
              <w:rPr>
                <w:rFonts w:asciiTheme="minorHAnsi" w:hAnsiTheme="minorHAnsi"/>
                <w:lang w:val="en-NZ"/>
              </w:rPr>
              <w:t xml:space="preserve">Mitigations include lower N and P fert, less crop, slightly less effective area. </w:t>
            </w:r>
          </w:p>
        </w:tc>
      </w:tr>
      <w:tr w:rsidR="00D048D1" w14:paraId="26783516" w14:textId="77777777" w:rsidTr="00FD10D1">
        <w:tc>
          <w:tcPr>
            <w:tcW w:w="0" w:type="auto"/>
          </w:tcPr>
          <w:p w14:paraId="172625B6" w14:textId="77777777" w:rsidR="00727BC1" w:rsidRPr="00D048D1" w:rsidRDefault="0085654F" w:rsidP="00147F96">
            <w:pPr>
              <w:spacing w:before="60" w:after="60"/>
              <w:rPr>
                <w:rFonts w:asciiTheme="minorHAnsi" w:hAnsiTheme="minorHAnsi"/>
                <w:b/>
                <w:lang w:val="en-NZ"/>
              </w:rPr>
            </w:pPr>
            <w:r w:rsidRPr="00D048D1">
              <w:rPr>
                <w:rFonts w:asciiTheme="minorHAnsi" w:hAnsiTheme="minorHAnsi"/>
                <w:b/>
                <w:lang w:val="en-NZ"/>
              </w:rPr>
              <w:t>d</w:t>
            </w:r>
            <w:r w:rsidR="0098268E" w:rsidRPr="00D048D1">
              <w:rPr>
                <w:rFonts w:asciiTheme="minorHAnsi" w:hAnsiTheme="minorHAnsi"/>
                <w:b/>
                <w:lang w:val="en-NZ"/>
              </w:rPr>
              <w:t>rystock reference files</w:t>
            </w:r>
          </w:p>
        </w:tc>
        <w:tc>
          <w:tcPr>
            <w:tcW w:w="0" w:type="auto"/>
          </w:tcPr>
          <w:p w14:paraId="2D817E00" w14:textId="77777777" w:rsidR="00727BC1" w:rsidRDefault="00D048D1" w:rsidP="00147F96">
            <w:pPr>
              <w:spacing w:before="60" w:after="60"/>
              <w:rPr>
                <w:rFonts w:asciiTheme="minorHAnsi" w:hAnsiTheme="minorHAnsi"/>
                <w:lang w:val="en-NZ"/>
              </w:rPr>
            </w:pPr>
            <w:r>
              <w:rPr>
                <w:rFonts w:asciiTheme="minorHAnsi" w:hAnsiTheme="minorHAnsi"/>
                <w:lang w:val="en-NZ"/>
              </w:rPr>
              <w:t>20%</w:t>
            </w:r>
          </w:p>
        </w:tc>
        <w:tc>
          <w:tcPr>
            <w:tcW w:w="0" w:type="auto"/>
          </w:tcPr>
          <w:p w14:paraId="5BCB9965" w14:textId="77777777" w:rsidR="00727BC1" w:rsidRDefault="00D048D1" w:rsidP="00147F96">
            <w:pPr>
              <w:spacing w:before="60" w:after="60"/>
              <w:rPr>
                <w:rFonts w:asciiTheme="minorHAnsi" w:hAnsiTheme="minorHAnsi"/>
                <w:lang w:val="en-NZ"/>
              </w:rPr>
            </w:pPr>
            <w:r>
              <w:rPr>
                <w:rFonts w:asciiTheme="minorHAnsi" w:hAnsiTheme="minorHAnsi"/>
                <w:lang w:val="en-NZ"/>
              </w:rPr>
              <w:t>4%</w:t>
            </w:r>
          </w:p>
        </w:tc>
        <w:tc>
          <w:tcPr>
            <w:tcW w:w="0" w:type="auto"/>
          </w:tcPr>
          <w:p w14:paraId="2CC897E7" w14:textId="77777777" w:rsidR="00727BC1" w:rsidRDefault="00D048D1" w:rsidP="00147F96">
            <w:pPr>
              <w:spacing w:before="60" w:after="60"/>
              <w:rPr>
                <w:rFonts w:asciiTheme="minorHAnsi" w:hAnsiTheme="minorHAnsi"/>
                <w:lang w:val="en-NZ"/>
              </w:rPr>
            </w:pPr>
            <w:r>
              <w:rPr>
                <w:rFonts w:asciiTheme="minorHAnsi" w:hAnsiTheme="minorHAnsi"/>
                <w:lang w:val="en-NZ"/>
              </w:rPr>
              <w:t xml:space="preserve">The hypothetical mitigations include lower N fert, no crop and different stock mix, although the </w:t>
            </w:r>
            <w:r w:rsidR="00560FB4">
              <w:rPr>
                <w:rFonts w:asciiTheme="minorHAnsi" w:hAnsiTheme="minorHAnsi"/>
                <w:lang w:val="en-NZ"/>
              </w:rPr>
              <w:t>NDA version has higher SR</w:t>
            </w:r>
          </w:p>
        </w:tc>
      </w:tr>
    </w:tbl>
    <w:p w14:paraId="6C99615C" w14:textId="77777777" w:rsidR="00147F96" w:rsidRDefault="00147F96" w:rsidP="00147F96">
      <w:pPr>
        <w:spacing w:after="120"/>
        <w:rPr>
          <w:rFonts w:asciiTheme="minorHAnsi" w:hAnsiTheme="minorHAnsi"/>
          <w:lang w:val="en-NZ"/>
        </w:rPr>
      </w:pPr>
    </w:p>
    <w:p w14:paraId="5338F47E" w14:textId="77CDB4D0" w:rsidR="00FC39F3" w:rsidRDefault="00560FB4" w:rsidP="00147F96">
      <w:pPr>
        <w:spacing w:after="120"/>
        <w:rPr>
          <w:rFonts w:asciiTheme="minorHAnsi" w:hAnsiTheme="minorHAnsi"/>
          <w:lang w:val="en-NZ"/>
        </w:rPr>
      </w:pPr>
      <w:r w:rsidRPr="00560FB4">
        <w:rPr>
          <w:rFonts w:asciiTheme="minorHAnsi" w:hAnsiTheme="minorHAnsi"/>
          <w:b/>
          <w:lang w:val="en-NZ"/>
        </w:rPr>
        <w:t xml:space="preserve">Interpretation: </w:t>
      </w:r>
      <w:r>
        <w:rPr>
          <w:rFonts w:asciiTheme="minorHAnsi" w:hAnsiTheme="minorHAnsi"/>
          <w:lang w:val="en-NZ"/>
        </w:rPr>
        <w:t>Both farm case studies appear to show useful P bycatch whilst meeting NDAs</w:t>
      </w:r>
      <w:r w:rsidR="00FC39F3">
        <w:rPr>
          <w:rFonts w:asciiTheme="minorHAnsi" w:hAnsiTheme="minorHAnsi"/>
          <w:lang w:val="en-NZ"/>
        </w:rPr>
        <w:t xml:space="preserve">. However, </w:t>
      </w:r>
      <w:r>
        <w:rPr>
          <w:rFonts w:asciiTheme="minorHAnsi" w:hAnsiTheme="minorHAnsi"/>
          <w:lang w:val="en-NZ"/>
        </w:rPr>
        <w:t xml:space="preserve">little can be drawn from this </w:t>
      </w:r>
      <w:r w:rsidR="00FC39F3">
        <w:rPr>
          <w:rFonts w:asciiTheme="minorHAnsi" w:hAnsiTheme="minorHAnsi"/>
          <w:lang w:val="en-NZ"/>
        </w:rPr>
        <w:t xml:space="preserve">due to the randomness of single case studies and the </w:t>
      </w:r>
      <w:r>
        <w:rPr>
          <w:rFonts w:asciiTheme="minorHAnsi" w:hAnsiTheme="minorHAnsi"/>
          <w:lang w:val="en-NZ"/>
        </w:rPr>
        <w:t>appar</w:t>
      </w:r>
      <w:r w:rsidR="00FC39F3">
        <w:rPr>
          <w:rFonts w:asciiTheme="minorHAnsi" w:hAnsiTheme="minorHAnsi"/>
          <w:lang w:val="en-NZ"/>
        </w:rPr>
        <w:t xml:space="preserve">ent </w:t>
      </w:r>
      <w:r>
        <w:rPr>
          <w:rFonts w:asciiTheme="minorHAnsi" w:hAnsiTheme="minorHAnsi"/>
          <w:lang w:val="en-NZ"/>
        </w:rPr>
        <w:t xml:space="preserve">disconnect </w:t>
      </w:r>
      <w:r w:rsidR="00FC39F3">
        <w:rPr>
          <w:rFonts w:asciiTheme="minorHAnsi" w:hAnsiTheme="minorHAnsi"/>
          <w:lang w:val="en-NZ"/>
        </w:rPr>
        <w:t>within the files on what is driving the respective N</w:t>
      </w:r>
      <w:r>
        <w:rPr>
          <w:rFonts w:asciiTheme="minorHAnsi" w:hAnsiTheme="minorHAnsi"/>
          <w:lang w:val="en-NZ"/>
        </w:rPr>
        <w:t xml:space="preserve"> and P </w:t>
      </w:r>
      <w:r w:rsidR="00FC39F3">
        <w:rPr>
          <w:rFonts w:asciiTheme="minorHAnsi" w:hAnsiTheme="minorHAnsi"/>
          <w:lang w:val="en-NZ"/>
        </w:rPr>
        <w:t>reduct</w:t>
      </w:r>
      <w:r>
        <w:rPr>
          <w:rFonts w:asciiTheme="minorHAnsi" w:hAnsiTheme="minorHAnsi"/>
          <w:lang w:val="en-NZ"/>
        </w:rPr>
        <w:t xml:space="preserve">ions. </w:t>
      </w:r>
      <w:r w:rsidRPr="00FD10D1">
        <w:rPr>
          <w:rFonts w:asciiTheme="minorHAnsi" w:hAnsiTheme="minorHAnsi"/>
          <w:lang w:val="en-NZ"/>
        </w:rPr>
        <w:t xml:space="preserve">More concerning is the </w:t>
      </w:r>
      <w:r w:rsidR="00FC39F3" w:rsidRPr="00FD10D1">
        <w:rPr>
          <w:rFonts w:asciiTheme="minorHAnsi" w:hAnsiTheme="minorHAnsi"/>
          <w:lang w:val="en-NZ"/>
        </w:rPr>
        <w:t>low</w:t>
      </w:r>
      <w:r w:rsidRPr="00FD10D1">
        <w:rPr>
          <w:rFonts w:asciiTheme="minorHAnsi" w:hAnsiTheme="minorHAnsi"/>
          <w:lang w:val="en-NZ"/>
        </w:rPr>
        <w:t xml:space="preserve"> 4% P reduction in the reference file comparison, despite achieving a 20% N </w:t>
      </w:r>
      <w:r w:rsidRPr="00C36EB0">
        <w:rPr>
          <w:rFonts w:asciiTheme="minorHAnsi" w:hAnsiTheme="minorHAnsi"/>
          <w:lang w:val="en-NZ"/>
        </w:rPr>
        <w:t>reduction</w:t>
      </w:r>
      <w:r>
        <w:rPr>
          <w:rFonts w:asciiTheme="minorHAnsi" w:hAnsiTheme="minorHAnsi"/>
          <w:lang w:val="en-NZ"/>
        </w:rPr>
        <w:t xml:space="preserve">. </w:t>
      </w:r>
      <w:r w:rsidR="00FC39F3">
        <w:rPr>
          <w:rFonts w:asciiTheme="minorHAnsi" w:hAnsiTheme="minorHAnsi"/>
          <w:lang w:val="en-NZ"/>
        </w:rPr>
        <w:t>While artificial, t</w:t>
      </w:r>
      <w:r>
        <w:rPr>
          <w:rFonts w:asciiTheme="minorHAnsi" w:hAnsiTheme="minorHAnsi"/>
          <w:lang w:val="en-NZ"/>
        </w:rPr>
        <w:t xml:space="preserve">he BM reference file is explicitly representative </w:t>
      </w:r>
      <w:r w:rsidR="00FC39F3">
        <w:rPr>
          <w:rFonts w:asciiTheme="minorHAnsi" w:hAnsiTheme="minorHAnsi"/>
          <w:lang w:val="en-NZ"/>
        </w:rPr>
        <w:t xml:space="preserve">of 2001-2004 farm inputs </w:t>
      </w:r>
      <w:r>
        <w:rPr>
          <w:rFonts w:asciiTheme="minorHAnsi" w:hAnsiTheme="minorHAnsi"/>
          <w:lang w:val="en-NZ"/>
        </w:rPr>
        <w:t xml:space="preserve">and both BM and NDA files have the same soil-based block composition that is directly proportional to BM soil data. </w:t>
      </w:r>
    </w:p>
    <w:p w14:paraId="4B08592B" w14:textId="77777777" w:rsidR="00560FB4" w:rsidRDefault="00FC39F3" w:rsidP="00147F96">
      <w:pPr>
        <w:spacing w:after="120"/>
        <w:rPr>
          <w:rFonts w:asciiTheme="minorHAnsi" w:hAnsiTheme="minorHAnsi"/>
          <w:lang w:val="en-NZ"/>
        </w:rPr>
      </w:pPr>
      <w:r>
        <w:rPr>
          <w:rFonts w:asciiTheme="minorHAnsi" w:hAnsiTheme="minorHAnsi"/>
          <w:lang w:val="en-NZ"/>
        </w:rPr>
        <w:t xml:space="preserve">The two drystock </w:t>
      </w:r>
      <w:r w:rsidR="00875240">
        <w:rPr>
          <w:rFonts w:asciiTheme="minorHAnsi" w:hAnsiTheme="minorHAnsi"/>
          <w:lang w:val="en-NZ"/>
        </w:rPr>
        <w:t xml:space="preserve">OVERSEER </w:t>
      </w:r>
      <w:r>
        <w:rPr>
          <w:rFonts w:asciiTheme="minorHAnsi" w:hAnsiTheme="minorHAnsi"/>
          <w:lang w:val="en-NZ"/>
        </w:rPr>
        <w:t>reference files were examined for soil order and slope influence on N and P loss. The results are appended as a poster paper (</w:t>
      </w:r>
      <w:r w:rsidR="00875240">
        <w:rPr>
          <w:rFonts w:asciiTheme="minorHAnsi" w:hAnsiTheme="minorHAnsi"/>
          <w:lang w:val="en-NZ"/>
        </w:rPr>
        <w:t xml:space="preserve">for </w:t>
      </w:r>
      <w:r>
        <w:rPr>
          <w:rFonts w:asciiTheme="minorHAnsi" w:hAnsiTheme="minorHAnsi"/>
          <w:lang w:val="en-NZ"/>
        </w:rPr>
        <w:t>the NZASSS conference, Queenstown, 12-16 Dec 2016).</w:t>
      </w:r>
      <w:r w:rsidR="00875240">
        <w:rPr>
          <w:rFonts w:asciiTheme="minorHAnsi" w:hAnsiTheme="minorHAnsi"/>
          <w:lang w:val="en-NZ"/>
        </w:rPr>
        <w:t xml:space="preserve"> While the results show contrasting P loss rates across different soil orders, it is not clear if/how this can be targeted given there are fundamental soil properties underpinning this variation, notably Anion Storage Capacity (ASC, or ‘Phosphate Retention’).</w:t>
      </w:r>
    </w:p>
    <w:p w14:paraId="4979F58C" w14:textId="54D0C26E" w:rsidR="00EE3D57" w:rsidRPr="000D1385" w:rsidRDefault="001F2E18" w:rsidP="00C66C2C">
      <w:pPr>
        <w:numPr>
          <w:ilvl w:val="0"/>
          <w:numId w:val="3"/>
        </w:numPr>
        <w:spacing w:before="240" w:after="60" w:line="264" w:lineRule="auto"/>
        <w:rPr>
          <w:rFonts w:asciiTheme="minorHAnsi" w:hAnsiTheme="minorHAnsi" w:cs="Calibri"/>
          <w:b/>
          <w:sz w:val="28"/>
          <w:szCs w:val="28"/>
          <w:lang w:val="en-NZ"/>
        </w:rPr>
      </w:pPr>
      <w:r>
        <w:rPr>
          <w:rFonts w:asciiTheme="minorHAnsi" w:hAnsiTheme="minorHAnsi" w:cs="Calibri"/>
          <w:b/>
          <w:sz w:val="28"/>
          <w:szCs w:val="28"/>
          <w:lang w:val="en-NZ"/>
        </w:rPr>
        <w:lastRenderedPageBreak/>
        <w:t xml:space="preserve">Estimate of overall change in </w:t>
      </w:r>
      <w:r w:rsidR="00385CE6" w:rsidRPr="000D1385">
        <w:rPr>
          <w:rFonts w:asciiTheme="minorHAnsi" w:hAnsiTheme="minorHAnsi" w:cs="Calibri"/>
          <w:b/>
          <w:sz w:val="28"/>
          <w:szCs w:val="28"/>
          <w:lang w:val="en-NZ"/>
        </w:rPr>
        <w:t xml:space="preserve">Lake Rotorua </w:t>
      </w:r>
      <w:r>
        <w:rPr>
          <w:rFonts w:asciiTheme="minorHAnsi" w:hAnsiTheme="minorHAnsi" w:cs="Calibri"/>
          <w:b/>
          <w:sz w:val="28"/>
          <w:szCs w:val="28"/>
          <w:lang w:val="en-NZ"/>
        </w:rPr>
        <w:t>P loss</w:t>
      </w:r>
      <w:r w:rsidR="00385CE6" w:rsidRPr="000D1385">
        <w:rPr>
          <w:rFonts w:asciiTheme="minorHAnsi" w:hAnsiTheme="minorHAnsi" w:cs="Calibri"/>
          <w:b/>
          <w:sz w:val="28"/>
          <w:szCs w:val="28"/>
          <w:lang w:val="en-NZ"/>
        </w:rPr>
        <w:t xml:space="preserve"> </w:t>
      </w:r>
    </w:p>
    <w:p w14:paraId="54B98E2B" w14:textId="77777777" w:rsidR="0043507E" w:rsidRDefault="0043507E" w:rsidP="00096676">
      <w:pPr>
        <w:spacing w:before="60" w:after="60"/>
        <w:rPr>
          <w:rFonts w:asciiTheme="minorHAnsi" w:hAnsiTheme="minorHAnsi"/>
          <w:lang w:val="en-NZ"/>
        </w:rPr>
      </w:pPr>
      <w:r>
        <w:rPr>
          <w:rFonts w:asciiTheme="minorHAnsi" w:hAnsiTheme="minorHAnsi"/>
          <w:lang w:val="en-NZ"/>
        </w:rPr>
        <w:t xml:space="preserve">This section of the review looks at estimates of overall P load, not just the incentives scheme as indicated in the ‘Review Scope’. </w:t>
      </w:r>
    </w:p>
    <w:p w14:paraId="66CDD03A" w14:textId="2C3051A9" w:rsidR="00C40636" w:rsidRDefault="00875240" w:rsidP="00096676">
      <w:pPr>
        <w:spacing w:before="60" w:after="60"/>
        <w:rPr>
          <w:rFonts w:asciiTheme="minorHAnsi" w:hAnsiTheme="minorHAnsi"/>
          <w:lang w:val="en-NZ"/>
        </w:rPr>
      </w:pPr>
      <w:r>
        <w:rPr>
          <w:rFonts w:asciiTheme="minorHAnsi" w:hAnsiTheme="minorHAnsi"/>
          <w:lang w:val="en-NZ"/>
        </w:rPr>
        <w:t xml:space="preserve">Land use change </w:t>
      </w:r>
      <w:r w:rsidR="00E24FAE">
        <w:rPr>
          <w:rFonts w:asciiTheme="minorHAnsi" w:hAnsiTheme="minorHAnsi"/>
          <w:lang w:val="en-NZ"/>
        </w:rPr>
        <w:t xml:space="preserve">and land management change </w:t>
      </w:r>
      <w:r>
        <w:rPr>
          <w:rFonts w:asciiTheme="minorHAnsi" w:hAnsiTheme="minorHAnsi"/>
          <w:lang w:val="en-NZ"/>
        </w:rPr>
        <w:t xml:space="preserve">may occur due to any combination of landowners meeting NDA, trading NDA or selling NDA to the Lake Rotorua Incentives scheme (LRI). </w:t>
      </w:r>
      <w:r w:rsidR="00E24FAE">
        <w:rPr>
          <w:rFonts w:asciiTheme="minorHAnsi" w:hAnsiTheme="minorHAnsi"/>
          <w:lang w:val="en-NZ"/>
        </w:rPr>
        <w:t>It is difficult to separate out any one component</w:t>
      </w:r>
      <w:r w:rsidR="00C40636">
        <w:rPr>
          <w:rFonts w:asciiTheme="minorHAnsi" w:hAnsiTheme="minorHAnsi"/>
          <w:lang w:val="en-NZ"/>
        </w:rPr>
        <w:t xml:space="preserve">. Fortunately, </w:t>
      </w:r>
      <w:r w:rsidR="00E24FAE">
        <w:rPr>
          <w:rFonts w:asciiTheme="minorHAnsi" w:hAnsiTheme="minorHAnsi"/>
          <w:lang w:val="en-NZ"/>
        </w:rPr>
        <w:t xml:space="preserve">we do have a </w:t>
      </w:r>
      <w:r w:rsidR="00E24FAE" w:rsidRPr="00C750C1">
        <w:rPr>
          <w:rFonts w:asciiTheme="minorHAnsi" w:hAnsiTheme="minorHAnsi"/>
          <w:u w:val="single"/>
          <w:lang w:val="en-NZ"/>
        </w:rPr>
        <w:t>useful combined N and P scenario dataset</w:t>
      </w:r>
      <w:r w:rsidR="00E24FAE">
        <w:rPr>
          <w:rFonts w:asciiTheme="minorHAnsi" w:hAnsiTheme="minorHAnsi"/>
          <w:lang w:val="en-NZ"/>
        </w:rPr>
        <w:t xml:space="preserve"> in the </w:t>
      </w:r>
      <w:r>
        <w:rPr>
          <w:rFonts w:asciiTheme="minorHAnsi" w:hAnsiTheme="minorHAnsi"/>
          <w:lang w:val="en-NZ"/>
        </w:rPr>
        <w:t xml:space="preserve">recent </w:t>
      </w:r>
      <w:r w:rsidR="00E24FAE">
        <w:rPr>
          <w:rFonts w:asciiTheme="minorHAnsi" w:hAnsiTheme="minorHAnsi"/>
          <w:lang w:val="en-NZ"/>
        </w:rPr>
        <w:t xml:space="preserve">catchment economic </w:t>
      </w:r>
      <w:r w:rsidR="00670710" w:rsidRPr="000D1385">
        <w:rPr>
          <w:rFonts w:asciiTheme="minorHAnsi" w:hAnsiTheme="minorHAnsi"/>
          <w:lang w:val="en-NZ"/>
        </w:rPr>
        <w:t xml:space="preserve">analysis </w:t>
      </w:r>
      <w:r w:rsidR="00E24FAE">
        <w:rPr>
          <w:rFonts w:asciiTheme="minorHAnsi" w:hAnsiTheme="minorHAnsi"/>
          <w:lang w:val="en-NZ"/>
        </w:rPr>
        <w:t xml:space="preserve">by </w:t>
      </w:r>
      <w:r w:rsidR="00670710" w:rsidRPr="000D1385">
        <w:rPr>
          <w:rFonts w:asciiTheme="minorHAnsi" w:hAnsiTheme="minorHAnsi"/>
          <w:lang w:val="en-NZ"/>
        </w:rPr>
        <w:t>Parsons</w:t>
      </w:r>
      <w:r w:rsidR="00E24FAE">
        <w:rPr>
          <w:rFonts w:asciiTheme="minorHAnsi" w:hAnsiTheme="minorHAnsi"/>
          <w:lang w:val="en-NZ"/>
        </w:rPr>
        <w:t xml:space="preserve">, Doole and Romera (2015). </w:t>
      </w:r>
      <w:r w:rsidR="00C40636">
        <w:rPr>
          <w:rFonts w:asciiTheme="minorHAnsi" w:hAnsiTheme="minorHAnsi"/>
          <w:lang w:val="en-NZ"/>
        </w:rPr>
        <w:t>This was developed by DairyNZ (with input from BOPRC and Perrin Ag) to guide Stakeholder Advisory Group and Council on N allocation for Lake Rotorua catchment i.e. it was</w:t>
      </w:r>
      <w:r w:rsidR="00C40636" w:rsidRPr="00C40636">
        <w:rPr>
          <w:rFonts w:asciiTheme="minorHAnsi" w:hAnsiTheme="minorHAnsi"/>
          <w:lang w:val="en-NZ"/>
        </w:rPr>
        <w:t xml:space="preserve"> </w:t>
      </w:r>
      <w:r w:rsidR="00C40636">
        <w:rPr>
          <w:rFonts w:asciiTheme="minorHAnsi" w:hAnsiTheme="minorHAnsi"/>
          <w:lang w:val="en-NZ"/>
        </w:rPr>
        <w:t>d</w:t>
      </w:r>
      <w:r w:rsidR="00C40636" w:rsidRPr="000D1385">
        <w:rPr>
          <w:rFonts w:asciiTheme="minorHAnsi" w:hAnsiTheme="minorHAnsi"/>
          <w:lang w:val="en-NZ"/>
        </w:rPr>
        <w:t xml:space="preserve">esigned to test </w:t>
      </w:r>
      <w:r w:rsidR="00C40636">
        <w:rPr>
          <w:rFonts w:asciiTheme="minorHAnsi" w:hAnsiTheme="minorHAnsi"/>
          <w:lang w:val="en-NZ"/>
        </w:rPr>
        <w:t xml:space="preserve">alternative </w:t>
      </w:r>
      <w:r w:rsidR="00C40636" w:rsidRPr="000D1385">
        <w:rPr>
          <w:rFonts w:asciiTheme="minorHAnsi" w:hAnsiTheme="minorHAnsi"/>
          <w:lang w:val="en-NZ"/>
        </w:rPr>
        <w:t xml:space="preserve">2032 N allocation </w:t>
      </w:r>
      <w:r w:rsidR="00C40636">
        <w:rPr>
          <w:rFonts w:asciiTheme="minorHAnsi" w:hAnsiTheme="minorHAnsi"/>
          <w:lang w:val="en-NZ"/>
        </w:rPr>
        <w:t>scenarios</w:t>
      </w:r>
      <w:r w:rsidR="00C40636" w:rsidRPr="000D1385">
        <w:rPr>
          <w:rFonts w:asciiTheme="minorHAnsi" w:hAnsiTheme="minorHAnsi"/>
          <w:lang w:val="en-NZ"/>
        </w:rPr>
        <w:t xml:space="preserve">, </w:t>
      </w:r>
      <w:r w:rsidR="00C40636">
        <w:rPr>
          <w:rFonts w:asciiTheme="minorHAnsi" w:hAnsiTheme="minorHAnsi"/>
          <w:lang w:val="en-NZ"/>
        </w:rPr>
        <w:t xml:space="preserve">the associated </w:t>
      </w:r>
      <w:r w:rsidR="00C40636" w:rsidRPr="000D1385">
        <w:rPr>
          <w:rFonts w:asciiTheme="minorHAnsi" w:hAnsiTheme="minorHAnsi"/>
          <w:lang w:val="en-NZ"/>
        </w:rPr>
        <w:t>cost</w:t>
      </w:r>
      <w:r w:rsidR="00C40636">
        <w:rPr>
          <w:rFonts w:asciiTheme="minorHAnsi" w:hAnsiTheme="minorHAnsi"/>
          <w:lang w:val="en-NZ"/>
        </w:rPr>
        <w:t>s and the degree of l</w:t>
      </w:r>
      <w:r w:rsidR="00C40636" w:rsidRPr="000D1385">
        <w:rPr>
          <w:rFonts w:asciiTheme="minorHAnsi" w:hAnsiTheme="minorHAnsi"/>
          <w:lang w:val="en-NZ"/>
        </w:rPr>
        <w:t>and use change</w:t>
      </w:r>
      <w:r w:rsidR="00C40636">
        <w:rPr>
          <w:rFonts w:asciiTheme="minorHAnsi" w:hAnsiTheme="minorHAnsi"/>
          <w:lang w:val="en-NZ"/>
        </w:rPr>
        <w:t>.</w:t>
      </w:r>
    </w:p>
    <w:p w14:paraId="00BA2F25" w14:textId="77777777" w:rsidR="00C40636" w:rsidRPr="00C40636" w:rsidRDefault="00C40636" w:rsidP="00C40636">
      <w:pPr>
        <w:numPr>
          <w:ilvl w:val="1"/>
          <w:numId w:val="3"/>
        </w:numPr>
        <w:spacing w:before="240" w:after="60" w:line="264" w:lineRule="auto"/>
        <w:rPr>
          <w:rFonts w:asciiTheme="minorHAnsi" w:hAnsiTheme="minorHAnsi" w:cs="Calibri"/>
          <w:b/>
          <w:sz w:val="24"/>
          <w:szCs w:val="24"/>
          <w:lang w:val="en-NZ"/>
        </w:rPr>
      </w:pPr>
      <w:r w:rsidRPr="00C40636">
        <w:rPr>
          <w:rFonts w:asciiTheme="minorHAnsi" w:hAnsiTheme="minorHAnsi" w:cs="Calibri"/>
          <w:b/>
          <w:sz w:val="24"/>
          <w:szCs w:val="24"/>
          <w:lang w:val="en-NZ"/>
        </w:rPr>
        <w:t>Parsons et al P analysis</w:t>
      </w:r>
    </w:p>
    <w:p w14:paraId="01AF4B67" w14:textId="77777777" w:rsidR="00385CE6" w:rsidRPr="000D1385" w:rsidRDefault="00C40636" w:rsidP="00096676">
      <w:pPr>
        <w:spacing w:before="60" w:after="60"/>
        <w:rPr>
          <w:rFonts w:asciiTheme="minorHAnsi" w:hAnsiTheme="minorHAnsi"/>
          <w:lang w:val="en-NZ"/>
        </w:rPr>
      </w:pPr>
      <w:r>
        <w:rPr>
          <w:rFonts w:asciiTheme="minorHAnsi" w:hAnsiTheme="minorHAnsi"/>
          <w:lang w:val="en-NZ"/>
        </w:rPr>
        <w:t xml:space="preserve">The raw model economic model Excel outputs were sorted to focus on P losses under the main land uses. The main comparison was between the status quo land use and </w:t>
      </w:r>
      <w:r w:rsidRPr="00E24FAE">
        <w:rPr>
          <w:rFonts w:asciiTheme="minorHAnsi" w:hAnsiTheme="minorHAnsi"/>
          <w:lang w:val="en-NZ"/>
        </w:rPr>
        <w:t>Scenario ‘S8’</w:t>
      </w:r>
      <w:r>
        <w:rPr>
          <w:rFonts w:asciiTheme="minorHAnsi" w:hAnsiTheme="minorHAnsi"/>
          <w:lang w:val="en-NZ"/>
        </w:rPr>
        <w:t>. The latter</w:t>
      </w:r>
      <w:r w:rsidRPr="00E24FAE">
        <w:rPr>
          <w:rFonts w:asciiTheme="minorHAnsi" w:hAnsiTheme="minorHAnsi"/>
          <w:lang w:val="en-NZ"/>
        </w:rPr>
        <w:t xml:space="preserve"> </w:t>
      </w:r>
      <w:r>
        <w:rPr>
          <w:rFonts w:asciiTheme="minorHAnsi" w:hAnsiTheme="minorHAnsi"/>
          <w:lang w:val="en-NZ"/>
        </w:rPr>
        <w:t xml:space="preserve">is </w:t>
      </w:r>
      <w:r w:rsidRPr="00E24FAE">
        <w:rPr>
          <w:rFonts w:asciiTheme="minorHAnsi" w:hAnsiTheme="minorHAnsi"/>
          <w:lang w:val="en-NZ"/>
        </w:rPr>
        <w:t xml:space="preserve">similar to </w:t>
      </w:r>
      <w:r w:rsidR="00C750C1">
        <w:rPr>
          <w:rFonts w:asciiTheme="minorHAnsi" w:hAnsiTheme="minorHAnsi"/>
          <w:lang w:val="en-NZ"/>
        </w:rPr>
        <w:t xml:space="preserve">the </w:t>
      </w:r>
      <w:r w:rsidRPr="00E24FAE">
        <w:rPr>
          <w:rFonts w:asciiTheme="minorHAnsi" w:hAnsiTheme="minorHAnsi"/>
          <w:lang w:val="en-NZ"/>
        </w:rPr>
        <w:t>PC10</w:t>
      </w:r>
      <w:r>
        <w:rPr>
          <w:rFonts w:asciiTheme="minorHAnsi" w:hAnsiTheme="minorHAnsi"/>
          <w:lang w:val="en-NZ"/>
        </w:rPr>
        <w:t xml:space="preserve"> </w:t>
      </w:r>
      <w:r w:rsidR="00C750C1">
        <w:rPr>
          <w:rFonts w:asciiTheme="minorHAnsi" w:hAnsiTheme="minorHAnsi"/>
          <w:lang w:val="en-NZ"/>
        </w:rPr>
        <w:t xml:space="preserve">allocation regime in combination with </w:t>
      </w:r>
      <w:r>
        <w:rPr>
          <w:rFonts w:asciiTheme="minorHAnsi" w:hAnsiTheme="minorHAnsi"/>
          <w:lang w:val="en-NZ"/>
        </w:rPr>
        <w:t>the Incentives Scheme</w:t>
      </w:r>
      <w:r w:rsidR="00C750C1">
        <w:rPr>
          <w:rFonts w:asciiTheme="minorHAnsi" w:hAnsiTheme="minorHAnsi"/>
          <w:lang w:val="en-NZ"/>
        </w:rPr>
        <w:t xml:space="preserve">. </w:t>
      </w:r>
      <w:r w:rsidR="00E24FAE">
        <w:rPr>
          <w:rFonts w:asciiTheme="minorHAnsi" w:hAnsiTheme="minorHAnsi"/>
          <w:lang w:val="en-NZ"/>
        </w:rPr>
        <w:t xml:space="preserve">Key points about this analysis are: </w:t>
      </w:r>
    </w:p>
    <w:p w14:paraId="3CEC614C" w14:textId="77777777" w:rsidR="00E24FAE" w:rsidRDefault="00670710" w:rsidP="004422F5">
      <w:pPr>
        <w:numPr>
          <w:ilvl w:val="0"/>
          <w:numId w:val="17"/>
        </w:numPr>
        <w:spacing w:before="60" w:after="60"/>
        <w:rPr>
          <w:rFonts w:asciiTheme="minorHAnsi" w:hAnsiTheme="minorHAnsi"/>
          <w:lang w:val="en-NZ"/>
        </w:rPr>
      </w:pPr>
      <w:r w:rsidRPr="00E24FAE">
        <w:rPr>
          <w:rFonts w:asciiTheme="minorHAnsi" w:hAnsiTheme="minorHAnsi"/>
          <w:lang w:val="en-NZ"/>
        </w:rPr>
        <w:t xml:space="preserve">Multiple </w:t>
      </w:r>
      <w:r w:rsidR="00C750C1">
        <w:rPr>
          <w:rFonts w:asciiTheme="minorHAnsi" w:hAnsiTheme="minorHAnsi"/>
          <w:lang w:val="en-NZ"/>
        </w:rPr>
        <w:t xml:space="preserve">realistic </w:t>
      </w:r>
      <w:r w:rsidRPr="00E24FAE">
        <w:rPr>
          <w:rFonts w:asciiTheme="minorHAnsi" w:hAnsiTheme="minorHAnsi"/>
          <w:lang w:val="en-NZ"/>
        </w:rPr>
        <w:t xml:space="preserve">farm </w:t>
      </w:r>
      <w:r w:rsidR="00E24FAE" w:rsidRPr="00E24FAE">
        <w:rPr>
          <w:rFonts w:asciiTheme="minorHAnsi" w:hAnsiTheme="minorHAnsi"/>
          <w:lang w:val="en-NZ"/>
        </w:rPr>
        <w:t>‘</w:t>
      </w:r>
      <w:r w:rsidRPr="00E24FAE">
        <w:rPr>
          <w:rFonts w:asciiTheme="minorHAnsi" w:hAnsiTheme="minorHAnsi"/>
          <w:lang w:val="en-NZ"/>
        </w:rPr>
        <w:t>typ</w:t>
      </w:r>
      <w:r w:rsidR="00E24FAE" w:rsidRPr="00E24FAE">
        <w:rPr>
          <w:rFonts w:asciiTheme="minorHAnsi" w:hAnsiTheme="minorHAnsi"/>
          <w:lang w:val="en-NZ"/>
        </w:rPr>
        <w:t>ologies’</w:t>
      </w:r>
      <w:r w:rsidRPr="00E24FAE">
        <w:rPr>
          <w:rFonts w:asciiTheme="minorHAnsi" w:hAnsiTheme="minorHAnsi"/>
          <w:lang w:val="en-NZ"/>
        </w:rPr>
        <w:t xml:space="preserve"> </w:t>
      </w:r>
      <w:r w:rsidR="00E24FAE" w:rsidRPr="00E24FAE">
        <w:rPr>
          <w:rFonts w:asciiTheme="minorHAnsi" w:hAnsiTheme="minorHAnsi"/>
          <w:lang w:val="en-NZ"/>
        </w:rPr>
        <w:t xml:space="preserve">were </w:t>
      </w:r>
      <w:r w:rsidRPr="00E24FAE">
        <w:rPr>
          <w:rFonts w:asciiTheme="minorHAnsi" w:hAnsiTheme="minorHAnsi"/>
          <w:lang w:val="en-NZ"/>
        </w:rPr>
        <w:t>modelled in OVERSEER v6.1.3 and FARMAX</w:t>
      </w:r>
      <w:r w:rsidR="00E24FAE" w:rsidRPr="00E24FAE">
        <w:rPr>
          <w:rFonts w:asciiTheme="minorHAnsi" w:hAnsiTheme="minorHAnsi"/>
          <w:lang w:val="en-NZ"/>
        </w:rPr>
        <w:t xml:space="preserve">, </w:t>
      </w:r>
      <w:r w:rsidR="00E24FAE">
        <w:rPr>
          <w:rFonts w:asciiTheme="minorHAnsi" w:hAnsiTheme="minorHAnsi"/>
          <w:lang w:val="en-NZ"/>
        </w:rPr>
        <w:t>with N mitigation cost curves determined via a hierarchy of system and land use changes.</w:t>
      </w:r>
    </w:p>
    <w:p w14:paraId="535D6C65" w14:textId="77777777" w:rsidR="00670710" w:rsidRPr="00E24FAE" w:rsidRDefault="00E24FAE" w:rsidP="004422F5">
      <w:pPr>
        <w:numPr>
          <w:ilvl w:val="0"/>
          <w:numId w:val="17"/>
        </w:numPr>
        <w:spacing w:before="60" w:after="60"/>
        <w:rPr>
          <w:rFonts w:asciiTheme="minorHAnsi" w:hAnsiTheme="minorHAnsi"/>
          <w:lang w:val="en-NZ"/>
        </w:rPr>
      </w:pPr>
      <w:r>
        <w:rPr>
          <w:rFonts w:asciiTheme="minorHAnsi" w:hAnsiTheme="minorHAnsi"/>
          <w:lang w:val="en-NZ"/>
        </w:rPr>
        <w:t xml:space="preserve">The </w:t>
      </w:r>
      <w:r w:rsidRPr="00E24FAE">
        <w:rPr>
          <w:rFonts w:asciiTheme="minorHAnsi" w:hAnsiTheme="minorHAnsi"/>
          <w:lang w:val="en-NZ"/>
        </w:rPr>
        <w:t>f</w:t>
      </w:r>
      <w:r w:rsidR="00670710" w:rsidRPr="00E24FAE">
        <w:rPr>
          <w:rFonts w:asciiTheme="minorHAnsi" w:hAnsiTheme="minorHAnsi"/>
          <w:lang w:val="en-NZ"/>
        </w:rPr>
        <w:t>ocus</w:t>
      </w:r>
      <w:r>
        <w:rPr>
          <w:rFonts w:asciiTheme="minorHAnsi" w:hAnsiTheme="minorHAnsi"/>
          <w:lang w:val="en-NZ"/>
        </w:rPr>
        <w:t xml:space="preserve"> was</w:t>
      </w:r>
      <w:r w:rsidR="00670710" w:rsidRPr="00E24FAE">
        <w:rPr>
          <w:rFonts w:asciiTheme="minorHAnsi" w:hAnsiTheme="minorHAnsi"/>
          <w:lang w:val="en-NZ"/>
        </w:rPr>
        <w:t xml:space="preserve"> ‘commercial’ land</w:t>
      </w:r>
      <w:r>
        <w:rPr>
          <w:rFonts w:asciiTheme="minorHAnsi" w:hAnsiTheme="minorHAnsi"/>
          <w:lang w:val="en-NZ"/>
        </w:rPr>
        <w:t xml:space="preserve"> including forestry, with ~5000 ha small blocks ignored</w:t>
      </w:r>
    </w:p>
    <w:p w14:paraId="421450BC" w14:textId="77777777" w:rsidR="00670710" w:rsidRPr="000D1385" w:rsidRDefault="00670710" w:rsidP="00E24FAE">
      <w:pPr>
        <w:numPr>
          <w:ilvl w:val="0"/>
          <w:numId w:val="17"/>
        </w:numPr>
        <w:spacing w:before="60" w:after="60"/>
        <w:rPr>
          <w:rFonts w:asciiTheme="minorHAnsi" w:hAnsiTheme="minorHAnsi"/>
          <w:lang w:val="en-NZ"/>
        </w:rPr>
      </w:pPr>
      <w:r w:rsidRPr="000D1385">
        <w:rPr>
          <w:rFonts w:asciiTheme="minorHAnsi" w:hAnsiTheme="minorHAnsi"/>
          <w:lang w:val="en-NZ"/>
        </w:rPr>
        <w:t xml:space="preserve">All </w:t>
      </w:r>
      <w:r w:rsidR="00E24FAE">
        <w:rPr>
          <w:rFonts w:asciiTheme="minorHAnsi" w:hAnsiTheme="minorHAnsi"/>
          <w:lang w:val="en-NZ"/>
        </w:rPr>
        <w:t xml:space="preserve">N allocation </w:t>
      </w:r>
      <w:r w:rsidRPr="000D1385">
        <w:rPr>
          <w:rFonts w:asciiTheme="minorHAnsi" w:hAnsiTheme="minorHAnsi"/>
          <w:lang w:val="en-NZ"/>
        </w:rPr>
        <w:t xml:space="preserve">scenarios </w:t>
      </w:r>
      <w:r w:rsidR="00E24FAE">
        <w:rPr>
          <w:rFonts w:asciiTheme="minorHAnsi" w:hAnsiTheme="minorHAnsi"/>
          <w:lang w:val="en-NZ"/>
        </w:rPr>
        <w:t xml:space="preserve">were forced to </w:t>
      </w:r>
      <w:r w:rsidRPr="000D1385">
        <w:rPr>
          <w:rFonts w:asciiTheme="minorHAnsi" w:hAnsiTheme="minorHAnsi"/>
          <w:lang w:val="en-NZ"/>
        </w:rPr>
        <w:t xml:space="preserve">reduce </w:t>
      </w:r>
      <w:r w:rsidR="00E24FAE">
        <w:rPr>
          <w:rFonts w:asciiTheme="minorHAnsi" w:hAnsiTheme="minorHAnsi"/>
          <w:lang w:val="en-NZ"/>
        </w:rPr>
        <w:t xml:space="preserve">aggregate </w:t>
      </w:r>
      <w:r w:rsidRPr="000D1385">
        <w:rPr>
          <w:rFonts w:asciiTheme="minorHAnsi" w:hAnsiTheme="minorHAnsi"/>
          <w:lang w:val="en-NZ"/>
        </w:rPr>
        <w:t>N loss from 633 →372 tN/y, ↓41%</w:t>
      </w:r>
      <w:r w:rsidR="00C750C1">
        <w:rPr>
          <w:rFonts w:asciiTheme="minorHAnsi" w:hAnsiTheme="minorHAnsi"/>
          <w:lang w:val="en-NZ"/>
        </w:rPr>
        <w:t>, with a range of constraints around cost-effectiveness and landowner willingness to trade N</w:t>
      </w:r>
    </w:p>
    <w:p w14:paraId="206A014F" w14:textId="77777777" w:rsidR="00670710" w:rsidRPr="00C750C1" w:rsidRDefault="00E24FAE" w:rsidP="00C750C1">
      <w:pPr>
        <w:numPr>
          <w:ilvl w:val="0"/>
          <w:numId w:val="17"/>
        </w:numPr>
        <w:spacing w:before="60" w:after="60"/>
        <w:rPr>
          <w:rFonts w:asciiTheme="minorHAnsi" w:hAnsiTheme="minorHAnsi"/>
          <w:lang w:val="en-NZ"/>
        </w:rPr>
      </w:pPr>
      <w:r>
        <w:rPr>
          <w:rFonts w:asciiTheme="minorHAnsi" w:hAnsiTheme="minorHAnsi"/>
          <w:lang w:val="en-NZ"/>
        </w:rPr>
        <w:t xml:space="preserve">Fortuitously, </w:t>
      </w:r>
      <w:r w:rsidR="00C750C1">
        <w:rPr>
          <w:rFonts w:asciiTheme="minorHAnsi" w:hAnsiTheme="minorHAnsi"/>
          <w:lang w:val="en-NZ"/>
        </w:rPr>
        <w:t xml:space="preserve">land use </w:t>
      </w:r>
      <w:r w:rsidR="00670710" w:rsidRPr="000D1385">
        <w:rPr>
          <w:rFonts w:asciiTheme="minorHAnsi" w:hAnsiTheme="minorHAnsi"/>
          <w:lang w:val="en-NZ"/>
        </w:rPr>
        <w:t xml:space="preserve">P losses </w:t>
      </w:r>
      <w:r w:rsidR="00C750C1">
        <w:rPr>
          <w:rFonts w:asciiTheme="minorHAnsi" w:hAnsiTheme="minorHAnsi"/>
          <w:lang w:val="en-NZ"/>
        </w:rPr>
        <w:t xml:space="preserve">(ex-OVERSEER) were </w:t>
      </w:r>
      <w:r w:rsidR="00670710" w:rsidRPr="000D1385">
        <w:rPr>
          <w:rFonts w:asciiTheme="minorHAnsi" w:hAnsiTheme="minorHAnsi"/>
          <w:lang w:val="en-NZ"/>
        </w:rPr>
        <w:t xml:space="preserve">also recorded for each </w:t>
      </w:r>
      <w:r w:rsidR="00C750C1">
        <w:rPr>
          <w:rFonts w:asciiTheme="minorHAnsi" w:hAnsiTheme="minorHAnsi"/>
          <w:lang w:val="en-NZ"/>
        </w:rPr>
        <w:t xml:space="preserve">N </w:t>
      </w:r>
      <w:r w:rsidR="00670710" w:rsidRPr="000D1385">
        <w:rPr>
          <w:rFonts w:asciiTheme="minorHAnsi" w:hAnsiTheme="minorHAnsi"/>
          <w:lang w:val="en-NZ"/>
        </w:rPr>
        <w:t>scenario</w:t>
      </w:r>
    </w:p>
    <w:p w14:paraId="1DC0F257" w14:textId="77777777" w:rsidR="00670710" w:rsidRPr="000D1385" w:rsidRDefault="00E24FAE" w:rsidP="00E24FAE">
      <w:pPr>
        <w:spacing w:before="60" w:after="60"/>
        <w:rPr>
          <w:rFonts w:asciiTheme="minorHAnsi" w:hAnsiTheme="minorHAnsi"/>
          <w:lang w:val="en-NZ"/>
        </w:rPr>
      </w:pPr>
      <w:r>
        <w:rPr>
          <w:rFonts w:asciiTheme="minorHAnsi" w:hAnsiTheme="minorHAnsi"/>
          <w:lang w:val="en-NZ"/>
        </w:rPr>
        <w:t xml:space="preserve">Some </w:t>
      </w:r>
      <w:r w:rsidR="00670710" w:rsidRPr="00E24FAE">
        <w:rPr>
          <w:rFonts w:asciiTheme="minorHAnsi" w:hAnsiTheme="minorHAnsi"/>
          <w:lang w:val="en-NZ"/>
        </w:rPr>
        <w:t>caution</w:t>
      </w:r>
      <w:r>
        <w:rPr>
          <w:rFonts w:asciiTheme="minorHAnsi" w:hAnsiTheme="minorHAnsi"/>
          <w:lang w:val="en-NZ"/>
        </w:rPr>
        <w:t xml:space="preserve"> </w:t>
      </w:r>
      <w:r w:rsidR="00C750C1">
        <w:rPr>
          <w:rFonts w:asciiTheme="minorHAnsi" w:hAnsiTheme="minorHAnsi"/>
          <w:lang w:val="en-NZ"/>
        </w:rPr>
        <w:t xml:space="preserve">is warranted in </w:t>
      </w:r>
      <w:r>
        <w:rPr>
          <w:rFonts w:asciiTheme="minorHAnsi" w:hAnsiTheme="minorHAnsi"/>
          <w:lang w:val="en-NZ"/>
        </w:rPr>
        <w:t xml:space="preserve">interpreting </w:t>
      </w:r>
      <w:r w:rsidR="00C750C1">
        <w:rPr>
          <w:rFonts w:asciiTheme="minorHAnsi" w:hAnsiTheme="minorHAnsi"/>
          <w:lang w:val="en-NZ"/>
        </w:rPr>
        <w:t xml:space="preserve">the </w:t>
      </w:r>
      <w:r>
        <w:rPr>
          <w:rFonts w:asciiTheme="minorHAnsi" w:hAnsiTheme="minorHAnsi"/>
          <w:lang w:val="en-NZ"/>
        </w:rPr>
        <w:t>Parson</w:t>
      </w:r>
      <w:r w:rsidR="00670710" w:rsidRPr="00E24FAE">
        <w:rPr>
          <w:rFonts w:asciiTheme="minorHAnsi" w:hAnsiTheme="minorHAnsi"/>
          <w:lang w:val="en-NZ"/>
        </w:rPr>
        <w:t xml:space="preserve">s </w:t>
      </w:r>
      <w:r>
        <w:rPr>
          <w:rFonts w:asciiTheme="minorHAnsi" w:hAnsiTheme="minorHAnsi"/>
          <w:lang w:val="en-NZ"/>
        </w:rPr>
        <w:t xml:space="preserve">et al P data because: </w:t>
      </w:r>
    </w:p>
    <w:p w14:paraId="0E1DC7C1" w14:textId="77777777" w:rsidR="00670710" w:rsidRPr="000D1385" w:rsidRDefault="00E24FAE" w:rsidP="00E24FAE">
      <w:pPr>
        <w:numPr>
          <w:ilvl w:val="0"/>
          <w:numId w:val="17"/>
        </w:numPr>
        <w:spacing w:before="60" w:after="60"/>
        <w:rPr>
          <w:rFonts w:asciiTheme="minorHAnsi" w:hAnsiTheme="minorHAnsi"/>
          <w:lang w:val="en-NZ"/>
        </w:rPr>
      </w:pPr>
      <w:r>
        <w:rPr>
          <w:rFonts w:asciiTheme="minorHAnsi" w:hAnsiTheme="minorHAnsi"/>
          <w:lang w:val="en-NZ"/>
        </w:rPr>
        <w:t>The a</w:t>
      </w:r>
      <w:r w:rsidR="00670710" w:rsidRPr="000D1385">
        <w:rPr>
          <w:rFonts w:asciiTheme="minorHAnsi" w:hAnsiTheme="minorHAnsi"/>
          <w:lang w:val="en-NZ"/>
        </w:rPr>
        <w:t xml:space="preserve">rea modelled </w:t>
      </w:r>
      <w:r>
        <w:rPr>
          <w:rFonts w:asciiTheme="minorHAnsi" w:hAnsiTheme="minorHAnsi"/>
          <w:lang w:val="en-NZ"/>
        </w:rPr>
        <w:t>is less than the a</w:t>
      </w:r>
      <w:r w:rsidR="00670710" w:rsidRPr="000D1385">
        <w:rPr>
          <w:rFonts w:asciiTheme="minorHAnsi" w:hAnsiTheme="minorHAnsi"/>
          <w:lang w:val="en-NZ"/>
        </w:rPr>
        <w:t>ctual area</w:t>
      </w:r>
      <w:r w:rsidR="00C40636">
        <w:rPr>
          <w:rFonts w:asciiTheme="minorHAnsi" w:hAnsiTheme="minorHAnsi"/>
          <w:lang w:val="en-NZ"/>
        </w:rPr>
        <w:t xml:space="preserve"> due to the ‘</w:t>
      </w:r>
      <w:r w:rsidR="00670710" w:rsidRPr="000D1385">
        <w:rPr>
          <w:rFonts w:asciiTheme="minorHAnsi" w:hAnsiTheme="minorHAnsi"/>
          <w:lang w:val="en-NZ"/>
        </w:rPr>
        <w:t>commercial</w:t>
      </w:r>
      <w:r w:rsidR="00C40636">
        <w:rPr>
          <w:rFonts w:asciiTheme="minorHAnsi" w:hAnsiTheme="minorHAnsi"/>
          <w:lang w:val="en-NZ"/>
        </w:rPr>
        <w:t>’ assumption</w:t>
      </w:r>
    </w:p>
    <w:p w14:paraId="2784E9EB" w14:textId="77777777" w:rsidR="00670710" w:rsidRPr="000D1385" w:rsidRDefault="00C40636" w:rsidP="00E24FAE">
      <w:pPr>
        <w:numPr>
          <w:ilvl w:val="0"/>
          <w:numId w:val="17"/>
        </w:numPr>
        <w:spacing w:before="60" w:after="60"/>
        <w:rPr>
          <w:rFonts w:asciiTheme="minorHAnsi" w:hAnsiTheme="minorHAnsi"/>
          <w:lang w:val="en-NZ"/>
        </w:rPr>
      </w:pPr>
      <w:r>
        <w:rPr>
          <w:rFonts w:asciiTheme="minorHAnsi" w:hAnsiTheme="minorHAnsi"/>
          <w:lang w:val="en-NZ"/>
        </w:rPr>
        <w:t xml:space="preserve">The </w:t>
      </w:r>
      <w:r w:rsidR="00670710" w:rsidRPr="000D1385">
        <w:rPr>
          <w:rFonts w:asciiTheme="minorHAnsi" w:hAnsiTheme="minorHAnsi"/>
          <w:lang w:val="en-NZ"/>
        </w:rPr>
        <w:t xml:space="preserve">OVERSEER P loss boundary </w:t>
      </w:r>
      <w:r>
        <w:rPr>
          <w:rFonts w:asciiTheme="minorHAnsi" w:hAnsiTheme="minorHAnsi"/>
          <w:lang w:val="en-NZ"/>
        </w:rPr>
        <w:t>is the</w:t>
      </w:r>
      <w:r w:rsidR="00670710" w:rsidRPr="000D1385">
        <w:rPr>
          <w:rFonts w:asciiTheme="minorHAnsi" w:hAnsiTheme="minorHAnsi"/>
          <w:lang w:val="en-NZ"/>
        </w:rPr>
        <w:t xml:space="preserve"> ‘2</w:t>
      </w:r>
      <w:r w:rsidR="00670710" w:rsidRPr="00E24FAE">
        <w:rPr>
          <w:rFonts w:asciiTheme="minorHAnsi" w:hAnsiTheme="minorHAnsi"/>
          <w:lang w:val="en-NZ"/>
        </w:rPr>
        <w:t>nd</w:t>
      </w:r>
      <w:r w:rsidR="00670710" w:rsidRPr="000D1385">
        <w:rPr>
          <w:rFonts w:asciiTheme="minorHAnsi" w:hAnsiTheme="minorHAnsi"/>
          <w:lang w:val="en-NZ"/>
        </w:rPr>
        <w:t xml:space="preserve"> order stream’ </w:t>
      </w:r>
      <w:r>
        <w:rPr>
          <w:rFonts w:asciiTheme="minorHAnsi" w:hAnsiTheme="minorHAnsi"/>
          <w:lang w:val="en-NZ"/>
        </w:rPr>
        <w:t xml:space="preserve">and </w:t>
      </w:r>
      <w:r w:rsidRPr="00FD10D1">
        <w:rPr>
          <w:rFonts w:asciiTheme="minorHAnsi" w:hAnsiTheme="minorHAnsi"/>
          <w:u w:val="single"/>
          <w:lang w:val="en-NZ"/>
        </w:rPr>
        <w:t>further attenuation is not modelled</w:t>
      </w:r>
    </w:p>
    <w:p w14:paraId="310E95B1" w14:textId="77777777" w:rsidR="00670710" w:rsidRDefault="00670710" w:rsidP="00E24FAE">
      <w:pPr>
        <w:numPr>
          <w:ilvl w:val="0"/>
          <w:numId w:val="17"/>
        </w:numPr>
        <w:spacing w:before="60" w:after="60"/>
        <w:rPr>
          <w:rFonts w:asciiTheme="minorHAnsi" w:hAnsiTheme="minorHAnsi"/>
          <w:lang w:val="en-NZ"/>
        </w:rPr>
      </w:pPr>
      <w:r w:rsidRPr="000D1385">
        <w:rPr>
          <w:rFonts w:asciiTheme="minorHAnsi" w:hAnsiTheme="minorHAnsi"/>
          <w:lang w:val="en-NZ"/>
        </w:rPr>
        <w:t xml:space="preserve">P </w:t>
      </w:r>
      <w:r w:rsidR="00C40636">
        <w:rPr>
          <w:rFonts w:asciiTheme="minorHAnsi" w:hAnsiTheme="minorHAnsi"/>
          <w:lang w:val="en-NZ"/>
        </w:rPr>
        <w:t xml:space="preserve">was </w:t>
      </w:r>
      <w:r w:rsidRPr="00C40636">
        <w:rPr>
          <w:rFonts w:asciiTheme="minorHAnsi" w:hAnsiTheme="minorHAnsi"/>
          <w:u w:val="single"/>
          <w:lang w:val="en-NZ"/>
        </w:rPr>
        <w:t>not</w:t>
      </w:r>
      <w:r w:rsidRPr="000D1385">
        <w:rPr>
          <w:rFonts w:asciiTheme="minorHAnsi" w:hAnsiTheme="minorHAnsi"/>
          <w:lang w:val="en-NZ"/>
        </w:rPr>
        <w:t xml:space="preserve"> the focus </w:t>
      </w:r>
      <w:r w:rsidR="00C40636">
        <w:rPr>
          <w:rFonts w:asciiTheme="minorHAnsi" w:hAnsiTheme="minorHAnsi"/>
          <w:lang w:val="en-NZ"/>
        </w:rPr>
        <w:t xml:space="preserve">and there may be unforeseen </w:t>
      </w:r>
      <w:r w:rsidRPr="000D1385">
        <w:rPr>
          <w:rFonts w:asciiTheme="minorHAnsi" w:hAnsiTheme="minorHAnsi"/>
          <w:lang w:val="en-NZ"/>
        </w:rPr>
        <w:t>method</w:t>
      </w:r>
      <w:r w:rsidR="00C40636">
        <w:rPr>
          <w:rFonts w:asciiTheme="minorHAnsi" w:hAnsiTheme="minorHAnsi"/>
          <w:lang w:val="en-NZ"/>
        </w:rPr>
        <w:t>ology anomalies.</w:t>
      </w:r>
    </w:p>
    <w:p w14:paraId="17917F6B" w14:textId="77777777" w:rsidR="00C40636" w:rsidRDefault="00C40636" w:rsidP="00C40636">
      <w:pPr>
        <w:spacing w:before="60" w:after="60"/>
        <w:rPr>
          <w:rFonts w:asciiTheme="minorHAnsi" w:hAnsiTheme="minorHAnsi"/>
          <w:lang w:val="en-NZ"/>
        </w:rPr>
      </w:pPr>
      <w:r>
        <w:rPr>
          <w:rFonts w:asciiTheme="minorHAnsi" w:hAnsiTheme="minorHAnsi"/>
          <w:lang w:val="en-NZ"/>
        </w:rPr>
        <w:t xml:space="preserve">The P results are summarised in the table below: </w:t>
      </w:r>
    </w:p>
    <w:p w14:paraId="43D1F6B9" w14:textId="77777777" w:rsidR="008F58CD" w:rsidRPr="000D1385" w:rsidRDefault="00670710" w:rsidP="00096676">
      <w:pPr>
        <w:spacing w:before="60" w:after="60"/>
        <w:rPr>
          <w:rFonts w:asciiTheme="minorHAnsi" w:hAnsiTheme="minorHAnsi"/>
          <w:lang w:val="en-NZ"/>
        </w:rPr>
      </w:pPr>
      <w:r w:rsidRPr="000D1385">
        <w:rPr>
          <w:rFonts w:asciiTheme="minorHAnsi" w:hAnsiTheme="minorHAnsi"/>
          <w:noProof/>
        </w:rPr>
        <w:drawing>
          <wp:inline distT="0" distB="0" distL="0" distR="0" wp14:anchorId="3C253AB8" wp14:editId="5AEE94A1">
            <wp:extent cx="4571999" cy="27527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3055" b="16667"/>
                    <a:stretch/>
                  </pic:blipFill>
                  <pic:spPr bwMode="auto">
                    <a:xfrm>
                      <a:off x="0" y="0"/>
                      <a:ext cx="4572396" cy="2752964"/>
                    </a:xfrm>
                    <a:prstGeom prst="rect">
                      <a:avLst/>
                    </a:prstGeom>
                    <a:ln>
                      <a:noFill/>
                    </a:ln>
                    <a:extLst>
                      <a:ext uri="{53640926-AAD7-44D8-BBD7-CCE9431645EC}">
                        <a14:shadowObscured xmlns:a14="http://schemas.microsoft.com/office/drawing/2010/main"/>
                      </a:ext>
                    </a:extLst>
                  </pic:spPr>
                </pic:pic>
              </a:graphicData>
            </a:graphic>
          </wp:inline>
        </w:drawing>
      </w:r>
    </w:p>
    <w:p w14:paraId="68F302A7" w14:textId="77777777" w:rsidR="00C40636" w:rsidRPr="00C750C1" w:rsidRDefault="00C750C1" w:rsidP="00C750C1">
      <w:pPr>
        <w:numPr>
          <w:ilvl w:val="1"/>
          <w:numId w:val="3"/>
        </w:numPr>
        <w:spacing w:before="240" w:after="60" w:line="264" w:lineRule="auto"/>
        <w:rPr>
          <w:rFonts w:asciiTheme="minorHAnsi" w:hAnsiTheme="minorHAnsi" w:cs="Calibri"/>
          <w:b/>
          <w:sz w:val="24"/>
          <w:szCs w:val="24"/>
          <w:lang w:val="en-NZ"/>
        </w:rPr>
      </w:pPr>
      <w:r>
        <w:rPr>
          <w:rFonts w:asciiTheme="minorHAnsi" w:hAnsiTheme="minorHAnsi" w:cs="Calibri"/>
          <w:b/>
          <w:sz w:val="24"/>
          <w:szCs w:val="24"/>
          <w:lang w:val="en-NZ"/>
        </w:rPr>
        <w:t>Parsons et al P o</w:t>
      </w:r>
      <w:r w:rsidR="00C40636" w:rsidRPr="00C750C1">
        <w:rPr>
          <w:rFonts w:asciiTheme="minorHAnsi" w:hAnsiTheme="minorHAnsi" w:cs="Calibri"/>
          <w:b/>
          <w:sz w:val="24"/>
          <w:szCs w:val="24"/>
          <w:lang w:val="en-NZ"/>
        </w:rPr>
        <w:t>bservations</w:t>
      </w:r>
    </w:p>
    <w:p w14:paraId="4DB9ACA4" w14:textId="574692F7" w:rsidR="00FB742C" w:rsidRPr="00FB742C" w:rsidRDefault="00FB742C" w:rsidP="004422F5">
      <w:pPr>
        <w:numPr>
          <w:ilvl w:val="0"/>
          <w:numId w:val="17"/>
        </w:numPr>
        <w:spacing w:before="60" w:after="60"/>
        <w:rPr>
          <w:rFonts w:asciiTheme="minorHAnsi" w:hAnsiTheme="minorHAnsi"/>
        </w:rPr>
      </w:pPr>
      <w:r w:rsidRPr="00FB742C">
        <w:rPr>
          <w:rFonts w:asciiTheme="minorHAnsi" w:hAnsiTheme="minorHAnsi"/>
          <w:lang w:val="en-NZ"/>
        </w:rPr>
        <w:t xml:space="preserve">Scenario S8 gives a 11.6 tP/y or 32% reduction in P loss ‘without trying’ i.e. P bycatch. This is mainly driven by </w:t>
      </w:r>
      <w:r w:rsidR="006516B8">
        <w:rPr>
          <w:rFonts w:asciiTheme="minorHAnsi" w:hAnsiTheme="minorHAnsi"/>
          <w:lang w:val="en-NZ"/>
        </w:rPr>
        <w:t>~</w:t>
      </w:r>
      <w:r w:rsidRPr="00FB742C">
        <w:rPr>
          <w:rFonts w:asciiTheme="minorHAnsi" w:hAnsiTheme="minorHAnsi"/>
          <w:lang w:val="en-NZ"/>
        </w:rPr>
        <w:t>6000 ha pasture converting to pine forestry</w:t>
      </w:r>
    </w:p>
    <w:p w14:paraId="6720DF99" w14:textId="77777777" w:rsidR="00FB742C" w:rsidRPr="00FB742C" w:rsidRDefault="00FB742C" w:rsidP="004422F5">
      <w:pPr>
        <w:numPr>
          <w:ilvl w:val="0"/>
          <w:numId w:val="17"/>
        </w:numPr>
        <w:spacing w:before="60" w:after="60"/>
        <w:rPr>
          <w:rFonts w:asciiTheme="minorHAnsi" w:hAnsiTheme="minorHAnsi"/>
        </w:rPr>
      </w:pPr>
      <w:r w:rsidRPr="00FB742C">
        <w:rPr>
          <w:rFonts w:asciiTheme="minorHAnsi" w:hAnsiTheme="minorHAnsi"/>
          <w:lang w:val="en-NZ"/>
        </w:rPr>
        <w:lastRenderedPageBreak/>
        <w:t>Th</w:t>
      </w:r>
      <w:r>
        <w:rPr>
          <w:rFonts w:asciiTheme="minorHAnsi" w:hAnsiTheme="minorHAnsi"/>
          <w:lang w:val="en-NZ"/>
        </w:rPr>
        <w:t>e</w:t>
      </w:r>
      <w:r w:rsidRPr="00FB742C">
        <w:rPr>
          <w:rFonts w:asciiTheme="minorHAnsi" w:hAnsiTheme="minorHAnsi"/>
          <w:lang w:val="en-NZ"/>
        </w:rPr>
        <w:t xml:space="preserve"> P reduction is very sensitive to the OVERSEER forestry P loss @ 0.12 kgP/ha/y. </w:t>
      </w:r>
      <w:r w:rsidRPr="00FB742C">
        <w:rPr>
          <w:rFonts w:asciiTheme="minorHAnsi" w:hAnsiTheme="minorHAnsi"/>
          <w:b/>
          <w:bCs/>
          <w:lang w:val="en-NZ"/>
        </w:rPr>
        <w:t>IF</w:t>
      </w:r>
      <w:r w:rsidRPr="00FB742C">
        <w:rPr>
          <w:rFonts w:asciiTheme="minorHAnsi" w:hAnsiTheme="minorHAnsi"/>
          <w:lang w:val="en-NZ"/>
        </w:rPr>
        <w:t xml:space="preserve"> forest P loss rate is assumed = 1.0 kgP/ha/y, t</w:t>
      </w:r>
      <w:r>
        <w:rPr>
          <w:rFonts w:asciiTheme="minorHAnsi" w:hAnsiTheme="minorHAnsi"/>
          <w:lang w:val="en-NZ"/>
        </w:rPr>
        <w:t xml:space="preserve">otal </w:t>
      </w:r>
      <w:r w:rsidRPr="00FB742C">
        <w:rPr>
          <w:rFonts w:asciiTheme="minorHAnsi" w:hAnsiTheme="minorHAnsi"/>
          <w:lang w:val="en-NZ"/>
        </w:rPr>
        <w:t xml:space="preserve">P reduction </w:t>
      </w:r>
      <w:r>
        <w:rPr>
          <w:rFonts w:asciiTheme="minorHAnsi" w:hAnsiTheme="minorHAnsi"/>
          <w:lang w:val="en-NZ"/>
        </w:rPr>
        <w:t xml:space="preserve">is </w:t>
      </w:r>
      <w:r w:rsidRPr="00FB742C">
        <w:rPr>
          <w:rFonts w:asciiTheme="minorHAnsi" w:hAnsiTheme="minorHAnsi"/>
          <w:lang w:val="en-NZ"/>
        </w:rPr>
        <w:t>only 5.4 tP/y</w:t>
      </w:r>
      <w:r>
        <w:rPr>
          <w:rFonts w:asciiTheme="minorHAnsi" w:hAnsiTheme="minorHAnsi"/>
          <w:lang w:val="en-NZ"/>
        </w:rPr>
        <w:t xml:space="preserve"> or </w:t>
      </w:r>
      <w:r w:rsidRPr="00FB742C">
        <w:rPr>
          <w:rFonts w:asciiTheme="minorHAnsi" w:hAnsiTheme="minorHAnsi"/>
          <w:lang w:val="en-NZ"/>
        </w:rPr>
        <w:t xml:space="preserve">12% </w:t>
      </w:r>
      <w:r>
        <w:rPr>
          <w:rFonts w:asciiTheme="minorHAnsi" w:hAnsiTheme="minorHAnsi"/>
          <w:lang w:val="en-NZ"/>
        </w:rPr>
        <w:t>(</w:t>
      </w:r>
      <w:r w:rsidRPr="00FB742C">
        <w:rPr>
          <w:rFonts w:asciiTheme="minorHAnsi" w:hAnsiTheme="minorHAnsi"/>
          <w:lang w:val="en-NZ"/>
        </w:rPr>
        <w:t>relative to status quo</w:t>
      </w:r>
      <w:r>
        <w:rPr>
          <w:rFonts w:asciiTheme="minorHAnsi" w:hAnsiTheme="minorHAnsi"/>
          <w:lang w:val="en-NZ"/>
        </w:rPr>
        <w:t>)</w:t>
      </w:r>
    </w:p>
    <w:p w14:paraId="732EF07B" w14:textId="77777777" w:rsidR="00FB742C" w:rsidRPr="002A0772" w:rsidRDefault="00FB742C" w:rsidP="0035664E">
      <w:pPr>
        <w:numPr>
          <w:ilvl w:val="0"/>
          <w:numId w:val="17"/>
        </w:numPr>
        <w:spacing w:before="60" w:after="60"/>
        <w:rPr>
          <w:rFonts w:asciiTheme="minorHAnsi" w:hAnsiTheme="minorHAnsi"/>
          <w:lang w:val="en-NZ"/>
        </w:rPr>
      </w:pPr>
      <w:r w:rsidRPr="002A0772">
        <w:rPr>
          <w:rFonts w:asciiTheme="minorHAnsi" w:hAnsiTheme="minorHAnsi"/>
          <w:lang w:val="en-NZ"/>
        </w:rPr>
        <w:t>Additional P loss reductions (beyond S8) would be possible via</w:t>
      </w:r>
      <w:r w:rsidR="002A0772" w:rsidRPr="002A0772">
        <w:rPr>
          <w:rFonts w:asciiTheme="minorHAnsi" w:hAnsiTheme="minorHAnsi"/>
          <w:lang w:val="en-NZ"/>
        </w:rPr>
        <w:t xml:space="preserve"> (i) i</w:t>
      </w:r>
      <w:r w:rsidRPr="002A0772">
        <w:rPr>
          <w:rFonts w:asciiTheme="minorHAnsi" w:hAnsiTheme="minorHAnsi"/>
          <w:lang w:val="en-NZ"/>
        </w:rPr>
        <w:t xml:space="preserve">mproved P farm </w:t>
      </w:r>
      <w:r w:rsidR="002A0772" w:rsidRPr="002A0772">
        <w:rPr>
          <w:rFonts w:asciiTheme="minorHAnsi" w:hAnsiTheme="minorHAnsi"/>
          <w:lang w:val="en-NZ"/>
        </w:rPr>
        <w:t>practices and (ii)</w:t>
      </w:r>
      <w:r w:rsidRPr="002A0772">
        <w:rPr>
          <w:rFonts w:asciiTheme="minorHAnsi" w:hAnsiTheme="minorHAnsi"/>
          <w:lang w:val="en-NZ"/>
        </w:rPr>
        <w:t xml:space="preserve"> GMPs on ~5000 ha non-commercial pasture, mainly small blocks &lt;40 ha</w:t>
      </w:r>
      <w:r w:rsidR="002A0772">
        <w:rPr>
          <w:rFonts w:asciiTheme="minorHAnsi" w:hAnsiTheme="minorHAnsi"/>
          <w:lang w:val="en-NZ"/>
        </w:rPr>
        <w:t>.</w:t>
      </w:r>
    </w:p>
    <w:p w14:paraId="6ACCA135" w14:textId="1CF6013E" w:rsidR="00FB742C" w:rsidRPr="00FB742C" w:rsidRDefault="00FB742C" w:rsidP="00FB742C">
      <w:pPr>
        <w:numPr>
          <w:ilvl w:val="1"/>
          <w:numId w:val="3"/>
        </w:numPr>
        <w:spacing w:before="240" w:after="60" w:line="264" w:lineRule="auto"/>
        <w:rPr>
          <w:rFonts w:asciiTheme="minorHAnsi" w:hAnsiTheme="minorHAnsi" w:cs="Calibri"/>
          <w:b/>
          <w:sz w:val="24"/>
          <w:szCs w:val="24"/>
          <w:lang w:val="en-NZ"/>
        </w:rPr>
      </w:pPr>
      <w:r w:rsidRPr="00FB742C">
        <w:rPr>
          <w:rFonts w:asciiTheme="minorHAnsi" w:hAnsiTheme="minorHAnsi" w:cs="Calibri"/>
          <w:b/>
          <w:sz w:val="24"/>
          <w:szCs w:val="24"/>
          <w:lang w:val="en-NZ"/>
        </w:rPr>
        <w:t xml:space="preserve">Revised </w:t>
      </w:r>
      <w:r>
        <w:rPr>
          <w:rFonts w:asciiTheme="minorHAnsi" w:hAnsiTheme="minorHAnsi" w:cs="Calibri"/>
          <w:b/>
          <w:sz w:val="24"/>
          <w:szCs w:val="24"/>
          <w:lang w:val="en-NZ"/>
        </w:rPr>
        <w:t>L</w:t>
      </w:r>
      <w:r w:rsidR="007C7E90">
        <w:rPr>
          <w:rFonts w:asciiTheme="minorHAnsi" w:hAnsiTheme="minorHAnsi" w:cs="Calibri"/>
          <w:b/>
          <w:sz w:val="24"/>
          <w:szCs w:val="24"/>
          <w:lang w:val="en-NZ"/>
        </w:rPr>
        <w:t xml:space="preserve">ake </w:t>
      </w:r>
      <w:r>
        <w:rPr>
          <w:rFonts w:asciiTheme="minorHAnsi" w:hAnsiTheme="minorHAnsi" w:cs="Calibri"/>
          <w:b/>
          <w:sz w:val="24"/>
          <w:szCs w:val="24"/>
          <w:lang w:val="en-NZ"/>
        </w:rPr>
        <w:t>R</w:t>
      </w:r>
      <w:r w:rsidR="007C7E90">
        <w:rPr>
          <w:rFonts w:asciiTheme="minorHAnsi" w:hAnsiTheme="minorHAnsi" w:cs="Calibri"/>
          <w:b/>
          <w:sz w:val="24"/>
          <w:szCs w:val="24"/>
          <w:lang w:val="en-NZ"/>
        </w:rPr>
        <w:t xml:space="preserve">otorua </w:t>
      </w:r>
      <w:r>
        <w:rPr>
          <w:rFonts w:asciiTheme="minorHAnsi" w:hAnsiTheme="minorHAnsi" w:cs="Calibri"/>
          <w:b/>
          <w:sz w:val="24"/>
          <w:szCs w:val="24"/>
          <w:lang w:val="en-NZ"/>
        </w:rPr>
        <w:t>I</w:t>
      </w:r>
      <w:r w:rsidR="007C7E90">
        <w:rPr>
          <w:rFonts w:asciiTheme="minorHAnsi" w:hAnsiTheme="minorHAnsi" w:cs="Calibri"/>
          <w:b/>
          <w:sz w:val="24"/>
          <w:szCs w:val="24"/>
          <w:lang w:val="en-NZ"/>
        </w:rPr>
        <w:t>ncentive scheme</w:t>
      </w:r>
      <w:r>
        <w:rPr>
          <w:rFonts w:asciiTheme="minorHAnsi" w:hAnsiTheme="minorHAnsi" w:cs="Calibri"/>
          <w:b/>
          <w:sz w:val="24"/>
          <w:szCs w:val="24"/>
          <w:lang w:val="en-NZ"/>
        </w:rPr>
        <w:t xml:space="preserve"> terms of reference</w:t>
      </w:r>
    </w:p>
    <w:p w14:paraId="47515847" w14:textId="77777777" w:rsidR="008F58CD" w:rsidRPr="000D1385" w:rsidRDefault="00FB742C" w:rsidP="00096676">
      <w:pPr>
        <w:spacing w:before="60" w:after="60"/>
        <w:rPr>
          <w:rFonts w:asciiTheme="minorHAnsi" w:hAnsiTheme="minorHAnsi"/>
          <w:lang w:val="en-NZ"/>
        </w:rPr>
      </w:pPr>
      <w:r>
        <w:rPr>
          <w:rFonts w:asciiTheme="minorHAnsi" w:hAnsiTheme="minorHAnsi"/>
          <w:lang w:val="en-NZ"/>
        </w:rPr>
        <w:t>BOPRC is proposing to r</w:t>
      </w:r>
      <w:r w:rsidR="00385CE6" w:rsidRPr="00FB742C">
        <w:rPr>
          <w:rFonts w:asciiTheme="minorHAnsi" w:hAnsiTheme="minorHAnsi"/>
          <w:lang w:val="en-NZ"/>
        </w:rPr>
        <w:t xml:space="preserve">evise </w:t>
      </w:r>
      <w:r>
        <w:rPr>
          <w:rFonts w:asciiTheme="minorHAnsi" w:hAnsiTheme="minorHAnsi"/>
          <w:lang w:val="en-NZ"/>
        </w:rPr>
        <w:t xml:space="preserve">the </w:t>
      </w:r>
      <w:r w:rsidR="00385CE6" w:rsidRPr="00FB742C">
        <w:rPr>
          <w:rFonts w:asciiTheme="minorHAnsi" w:hAnsiTheme="minorHAnsi"/>
          <w:lang w:val="en-NZ"/>
        </w:rPr>
        <w:t>ToR</w:t>
      </w:r>
      <w:r>
        <w:rPr>
          <w:rFonts w:asciiTheme="minorHAnsi" w:hAnsiTheme="minorHAnsi"/>
          <w:lang w:val="en-NZ"/>
        </w:rPr>
        <w:t xml:space="preserve"> for LRI (and dropping ‘Board’ from its title), with a </w:t>
      </w:r>
      <w:r w:rsidRPr="00FB742C">
        <w:rPr>
          <w:rFonts w:asciiTheme="minorHAnsi" w:hAnsiTheme="minorHAnsi"/>
          <w:u w:val="single"/>
          <w:lang w:val="en-NZ"/>
        </w:rPr>
        <w:t>m</w:t>
      </w:r>
      <w:r w:rsidR="008F58CD" w:rsidRPr="00FB742C">
        <w:rPr>
          <w:rFonts w:asciiTheme="minorHAnsi" w:hAnsiTheme="minorHAnsi"/>
          <w:u w:val="single"/>
          <w:lang w:val="en-NZ"/>
        </w:rPr>
        <w:t>odified</w:t>
      </w:r>
      <w:r w:rsidR="008F58CD" w:rsidRPr="000D1385">
        <w:rPr>
          <w:rFonts w:asciiTheme="minorHAnsi" w:hAnsiTheme="minorHAnsi"/>
          <w:lang w:val="en-NZ"/>
        </w:rPr>
        <w:t xml:space="preserve"> clause 2: </w:t>
      </w:r>
    </w:p>
    <w:p w14:paraId="16B47689" w14:textId="77777777" w:rsidR="008F58CD" w:rsidRDefault="008F58CD" w:rsidP="00FB742C">
      <w:pPr>
        <w:numPr>
          <w:ilvl w:val="0"/>
          <w:numId w:val="20"/>
        </w:numPr>
        <w:spacing w:before="60" w:after="60"/>
        <w:rPr>
          <w:rFonts w:asciiTheme="minorHAnsi" w:hAnsiTheme="minorHAnsi"/>
          <w:lang w:val="en-NZ"/>
        </w:rPr>
      </w:pPr>
      <w:r w:rsidRPr="00FB742C">
        <w:rPr>
          <w:rFonts w:asciiTheme="minorHAnsi" w:hAnsiTheme="minorHAnsi"/>
          <w:lang w:val="en-NZ"/>
        </w:rPr>
        <w:t xml:space="preserve">Negotiate agreements to reduce nitrogen </w:t>
      </w:r>
      <w:r w:rsidRPr="00FB742C">
        <w:rPr>
          <w:rFonts w:asciiTheme="minorHAnsi" w:hAnsiTheme="minorHAnsi"/>
          <w:u w:val="single"/>
          <w:lang w:val="en-NZ"/>
        </w:rPr>
        <w:t xml:space="preserve">and secure no exacerbation in phosphorous loss to Lake Rotorua </w:t>
      </w:r>
      <w:r w:rsidRPr="00FB742C">
        <w:rPr>
          <w:rFonts w:asciiTheme="minorHAnsi" w:hAnsiTheme="minorHAnsi"/>
          <w:lang w:val="en-NZ"/>
        </w:rPr>
        <w:t>on a willing buyer/willing seller basis</w:t>
      </w:r>
      <w:r w:rsidR="00FB742C">
        <w:rPr>
          <w:rFonts w:asciiTheme="minorHAnsi" w:hAnsiTheme="minorHAnsi"/>
          <w:lang w:val="en-NZ"/>
        </w:rPr>
        <w:t xml:space="preserve"> (new words underlined)</w:t>
      </w:r>
    </w:p>
    <w:p w14:paraId="243417F9" w14:textId="77777777" w:rsidR="00FB742C" w:rsidRPr="000D1385" w:rsidRDefault="00FB742C" w:rsidP="00096676">
      <w:pPr>
        <w:spacing w:before="60" w:after="60"/>
        <w:rPr>
          <w:rFonts w:asciiTheme="minorHAnsi" w:hAnsiTheme="minorHAnsi"/>
          <w:lang w:val="en-NZ"/>
        </w:rPr>
      </w:pPr>
      <w:r>
        <w:rPr>
          <w:rFonts w:asciiTheme="minorHAnsi" w:hAnsiTheme="minorHAnsi"/>
          <w:lang w:val="en-NZ"/>
        </w:rPr>
        <w:t>The revised ToR are subject to approval by RTALSG on 20 December 2016. While this amendment does not secure additional P, it is a safeguard against a win/lose (N/P) outcome.</w:t>
      </w:r>
    </w:p>
    <w:p w14:paraId="7D8879C1" w14:textId="77777777" w:rsidR="00102128" w:rsidRPr="000D1385" w:rsidRDefault="007C7D04" w:rsidP="00C66C2C">
      <w:pPr>
        <w:numPr>
          <w:ilvl w:val="0"/>
          <w:numId w:val="3"/>
        </w:numPr>
        <w:spacing w:before="240" w:after="60" w:line="264" w:lineRule="auto"/>
        <w:rPr>
          <w:rFonts w:asciiTheme="minorHAnsi" w:hAnsiTheme="minorHAnsi" w:cs="Calibri"/>
          <w:b/>
          <w:sz w:val="28"/>
          <w:szCs w:val="28"/>
          <w:lang w:val="en-NZ"/>
        </w:rPr>
      </w:pPr>
      <w:r w:rsidRPr="000D1385">
        <w:rPr>
          <w:rFonts w:asciiTheme="minorHAnsi" w:hAnsiTheme="minorHAnsi" w:cs="Calibri"/>
          <w:b/>
          <w:sz w:val="28"/>
          <w:szCs w:val="28"/>
          <w:lang w:val="en-NZ"/>
        </w:rPr>
        <w:t xml:space="preserve">Other </w:t>
      </w:r>
      <w:r w:rsidR="00385CE6" w:rsidRPr="000D1385">
        <w:rPr>
          <w:rFonts w:asciiTheme="minorHAnsi" w:hAnsiTheme="minorHAnsi" w:cs="Calibri"/>
          <w:b/>
          <w:sz w:val="28"/>
          <w:szCs w:val="28"/>
          <w:lang w:val="en-NZ"/>
        </w:rPr>
        <w:t xml:space="preserve">actions in the </w:t>
      </w:r>
      <w:r w:rsidRPr="000D1385">
        <w:rPr>
          <w:rFonts w:asciiTheme="minorHAnsi" w:hAnsiTheme="minorHAnsi" w:cs="Calibri"/>
          <w:b/>
          <w:sz w:val="28"/>
          <w:szCs w:val="28"/>
          <w:lang w:val="en-NZ"/>
        </w:rPr>
        <w:t xml:space="preserve">Rotorua Te Arawa Lakes Programme </w:t>
      </w:r>
    </w:p>
    <w:p w14:paraId="77B3DA32" w14:textId="67BFDCE9" w:rsidR="00350F74" w:rsidRDefault="00350F74" w:rsidP="00DC1D45">
      <w:pPr>
        <w:spacing w:before="60" w:after="60"/>
        <w:rPr>
          <w:rFonts w:asciiTheme="minorHAnsi" w:hAnsiTheme="minorHAnsi"/>
          <w:lang w:val="en-NZ"/>
        </w:rPr>
      </w:pPr>
      <w:r>
        <w:rPr>
          <w:rFonts w:asciiTheme="minorHAnsi" w:hAnsiTheme="minorHAnsi"/>
          <w:lang w:val="en-NZ"/>
        </w:rPr>
        <w:t>The rules and incentives are two significant parts of a wider programme – these other actions are summarised in the table below</w:t>
      </w:r>
      <w:r w:rsidR="006516B8">
        <w:rPr>
          <w:rFonts w:asciiTheme="minorHAnsi" w:hAnsiTheme="minorHAnsi"/>
          <w:lang w:val="en-NZ"/>
        </w:rPr>
        <w:t xml:space="preserve">. The assessment of P reduction is indicative only, </w:t>
      </w:r>
      <w:r w:rsidR="007C7E90">
        <w:rPr>
          <w:rFonts w:asciiTheme="minorHAnsi" w:hAnsiTheme="minorHAnsi"/>
          <w:lang w:val="en-NZ"/>
        </w:rPr>
        <w:t>and</w:t>
      </w:r>
      <w:r w:rsidR="006516B8">
        <w:rPr>
          <w:rFonts w:asciiTheme="minorHAnsi" w:hAnsiTheme="minorHAnsi"/>
          <w:lang w:val="en-NZ"/>
        </w:rPr>
        <w:t xml:space="preserve"> based on reviewing the references cited for each action.</w:t>
      </w:r>
    </w:p>
    <w:tbl>
      <w:tblPr>
        <w:tblStyle w:val="TableGrid"/>
        <w:tblW w:w="0" w:type="auto"/>
        <w:tblLook w:val="04A0" w:firstRow="1" w:lastRow="0" w:firstColumn="1" w:lastColumn="0" w:noHBand="0" w:noVBand="1"/>
      </w:tblPr>
      <w:tblGrid>
        <w:gridCol w:w="2080"/>
        <w:gridCol w:w="3462"/>
        <w:gridCol w:w="2332"/>
        <w:gridCol w:w="1755"/>
      </w:tblGrid>
      <w:tr w:rsidR="00E226F3" w:rsidRPr="00350F74" w14:paraId="23C28529" w14:textId="77777777" w:rsidTr="00BA7DB6">
        <w:tc>
          <w:tcPr>
            <w:tcW w:w="0" w:type="auto"/>
          </w:tcPr>
          <w:p w14:paraId="49C69E62" w14:textId="4EE0E353" w:rsidR="004422F5" w:rsidRPr="00350F74" w:rsidRDefault="006516B8" w:rsidP="00BA7DB6">
            <w:pPr>
              <w:spacing w:before="20" w:after="20"/>
              <w:rPr>
                <w:rFonts w:asciiTheme="minorHAnsi" w:hAnsiTheme="minorHAnsi"/>
                <w:b/>
                <w:lang w:val="en-NZ"/>
              </w:rPr>
            </w:pPr>
            <w:r>
              <w:rPr>
                <w:rFonts w:asciiTheme="minorHAnsi" w:hAnsiTheme="minorHAnsi"/>
                <w:b/>
                <w:lang w:val="en-NZ"/>
              </w:rPr>
              <w:t xml:space="preserve">RTALP </w:t>
            </w:r>
            <w:r w:rsidR="004422F5" w:rsidRPr="00350F74">
              <w:rPr>
                <w:rFonts w:asciiTheme="minorHAnsi" w:hAnsiTheme="minorHAnsi"/>
                <w:b/>
                <w:lang w:val="en-NZ"/>
              </w:rPr>
              <w:t>Action</w:t>
            </w:r>
          </w:p>
        </w:tc>
        <w:tc>
          <w:tcPr>
            <w:tcW w:w="0" w:type="auto"/>
          </w:tcPr>
          <w:p w14:paraId="63B6F6EE" w14:textId="77777777" w:rsidR="004422F5" w:rsidRPr="00350F74" w:rsidRDefault="004422F5" w:rsidP="00BA7DB6">
            <w:pPr>
              <w:spacing w:before="20" w:after="20"/>
              <w:rPr>
                <w:rFonts w:asciiTheme="minorHAnsi" w:hAnsiTheme="minorHAnsi"/>
                <w:b/>
                <w:lang w:val="en-NZ"/>
              </w:rPr>
            </w:pPr>
            <w:r>
              <w:rPr>
                <w:rFonts w:asciiTheme="minorHAnsi" w:hAnsiTheme="minorHAnsi"/>
                <w:b/>
                <w:lang w:val="en-NZ"/>
              </w:rPr>
              <w:t>Comment</w:t>
            </w:r>
          </w:p>
        </w:tc>
        <w:tc>
          <w:tcPr>
            <w:tcW w:w="0" w:type="auto"/>
          </w:tcPr>
          <w:p w14:paraId="7D2C06C9" w14:textId="77777777" w:rsidR="004422F5" w:rsidRPr="00350F74" w:rsidRDefault="004422F5" w:rsidP="00BA7DB6">
            <w:pPr>
              <w:spacing w:before="20" w:after="20"/>
              <w:rPr>
                <w:rFonts w:asciiTheme="minorHAnsi" w:hAnsiTheme="minorHAnsi"/>
                <w:b/>
                <w:lang w:val="en-NZ"/>
              </w:rPr>
            </w:pPr>
            <w:r w:rsidRPr="00350F74">
              <w:rPr>
                <w:rFonts w:asciiTheme="minorHAnsi" w:hAnsiTheme="minorHAnsi"/>
                <w:b/>
                <w:lang w:val="en-NZ"/>
              </w:rPr>
              <w:t>P reduction</w:t>
            </w:r>
          </w:p>
        </w:tc>
        <w:tc>
          <w:tcPr>
            <w:tcW w:w="0" w:type="auto"/>
          </w:tcPr>
          <w:p w14:paraId="1D0D56AA" w14:textId="77777777" w:rsidR="004422F5" w:rsidRPr="00350F74" w:rsidRDefault="004422F5" w:rsidP="00BA7DB6">
            <w:pPr>
              <w:spacing w:before="20" w:after="20"/>
              <w:rPr>
                <w:rFonts w:asciiTheme="minorHAnsi" w:hAnsiTheme="minorHAnsi"/>
                <w:b/>
                <w:lang w:val="en-NZ"/>
              </w:rPr>
            </w:pPr>
            <w:r w:rsidRPr="00350F74">
              <w:rPr>
                <w:rFonts w:asciiTheme="minorHAnsi" w:hAnsiTheme="minorHAnsi"/>
                <w:b/>
                <w:lang w:val="en-NZ"/>
              </w:rPr>
              <w:t>Reference</w:t>
            </w:r>
          </w:p>
        </w:tc>
      </w:tr>
      <w:tr w:rsidR="00E226F3" w14:paraId="265E2313" w14:textId="77777777" w:rsidTr="00BA7DB6">
        <w:tc>
          <w:tcPr>
            <w:tcW w:w="0" w:type="auto"/>
          </w:tcPr>
          <w:p w14:paraId="787B41B8" w14:textId="77777777" w:rsidR="004422F5" w:rsidRDefault="004422F5" w:rsidP="00BA7DB6">
            <w:pPr>
              <w:spacing w:before="20" w:after="20"/>
              <w:rPr>
                <w:rFonts w:asciiTheme="minorHAnsi" w:hAnsiTheme="minorHAnsi"/>
                <w:lang w:val="en-NZ"/>
              </w:rPr>
            </w:pPr>
            <w:r w:rsidRPr="000D1385">
              <w:rPr>
                <w:rFonts w:asciiTheme="minorHAnsi" w:hAnsiTheme="minorHAnsi"/>
                <w:lang w:val="en-NZ"/>
              </w:rPr>
              <w:t>Alum</w:t>
            </w:r>
            <w:r w:rsidR="006D5B61">
              <w:rPr>
                <w:rFonts w:asciiTheme="minorHAnsi" w:hAnsiTheme="minorHAnsi"/>
                <w:lang w:val="en-NZ"/>
              </w:rPr>
              <w:t xml:space="preserve"> dosing</w:t>
            </w:r>
          </w:p>
        </w:tc>
        <w:tc>
          <w:tcPr>
            <w:tcW w:w="0" w:type="auto"/>
          </w:tcPr>
          <w:p w14:paraId="2B952927" w14:textId="77777777" w:rsidR="004422F5" w:rsidRDefault="004422F5" w:rsidP="00BA7DB6">
            <w:pPr>
              <w:spacing w:before="20" w:after="20"/>
              <w:rPr>
                <w:rFonts w:asciiTheme="minorHAnsi" w:hAnsiTheme="minorHAnsi"/>
                <w:lang w:val="en-NZ"/>
              </w:rPr>
            </w:pPr>
            <w:r>
              <w:rPr>
                <w:rFonts w:asciiTheme="minorHAnsi" w:hAnsiTheme="minorHAnsi"/>
                <w:lang w:val="en-NZ"/>
              </w:rPr>
              <w:t xml:space="preserve">Ongoing, </w:t>
            </w:r>
            <w:r w:rsidR="006D5B61">
              <w:rPr>
                <w:rFonts w:asciiTheme="minorHAnsi" w:hAnsiTheme="minorHAnsi"/>
                <w:lang w:val="en-NZ"/>
              </w:rPr>
              <w:t xml:space="preserve">two </w:t>
            </w:r>
            <w:r>
              <w:rPr>
                <w:rFonts w:asciiTheme="minorHAnsi" w:hAnsiTheme="minorHAnsi"/>
                <w:lang w:val="en-NZ"/>
              </w:rPr>
              <w:t>consents to be renewed</w:t>
            </w:r>
            <w:r w:rsidR="006D5B61">
              <w:rPr>
                <w:rFonts w:asciiTheme="minorHAnsi" w:hAnsiTheme="minorHAnsi"/>
                <w:lang w:val="en-NZ"/>
              </w:rPr>
              <w:t xml:space="preserve"> soon</w:t>
            </w:r>
          </w:p>
        </w:tc>
        <w:tc>
          <w:tcPr>
            <w:tcW w:w="0" w:type="auto"/>
          </w:tcPr>
          <w:p w14:paraId="14589A02" w14:textId="77777777" w:rsidR="004422F5" w:rsidRDefault="004422F5" w:rsidP="00BA7DB6">
            <w:pPr>
              <w:spacing w:before="20" w:after="20"/>
              <w:rPr>
                <w:rFonts w:asciiTheme="minorHAnsi" w:hAnsiTheme="minorHAnsi"/>
                <w:lang w:val="en-NZ"/>
              </w:rPr>
            </w:pPr>
            <w:r>
              <w:rPr>
                <w:rFonts w:asciiTheme="minorHAnsi" w:hAnsiTheme="minorHAnsi"/>
                <w:lang w:val="en-NZ"/>
              </w:rPr>
              <w:t>Substantial</w:t>
            </w:r>
          </w:p>
        </w:tc>
        <w:tc>
          <w:tcPr>
            <w:tcW w:w="0" w:type="auto"/>
          </w:tcPr>
          <w:p w14:paraId="2618F43A" w14:textId="54EE70B2" w:rsidR="004422F5" w:rsidRDefault="003455AD" w:rsidP="00BA7DB6">
            <w:pPr>
              <w:spacing w:before="20" w:after="20"/>
              <w:rPr>
                <w:rFonts w:asciiTheme="minorHAnsi" w:hAnsiTheme="minorHAnsi"/>
                <w:lang w:val="en-NZ"/>
              </w:rPr>
            </w:pPr>
            <w:hyperlink r:id="rId26" w:history="1">
              <w:r w:rsidR="006516B8">
                <w:rPr>
                  <w:rStyle w:val="Hyperlink"/>
                  <w:rFonts w:asciiTheme="minorHAnsi" w:hAnsiTheme="minorHAnsi"/>
                  <w:lang w:val="en-NZ"/>
                </w:rPr>
                <w:t>P locking</w:t>
              </w:r>
            </w:hyperlink>
            <w:r w:rsidR="006516B8">
              <w:rPr>
                <w:rStyle w:val="Hyperlink"/>
                <w:rFonts w:asciiTheme="minorHAnsi" w:hAnsiTheme="minorHAnsi"/>
                <w:lang w:val="en-NZ"/>
              </w:rPr>
              <w:t xml:space="preserve">; </w:t>
            </w:r>
            <w:hyperlink r:id="rId27" w:history="1">
              <w:r w:rsidR="006516B8" w:rsidRPr="006516B8">
                <w:rPr>
                  <w:rStyle w:val="Hyperlink"/>
                  <w:rFonts w:asciiTheme="minorHAnsi" w:hAnsiTheme="minorHAnsi"/>
                  <w:lang w:val="en-NZ"/>
                </w:rPr>
                <w:t>Tempero et al, 2015</w:t>
              </w:r>
            </w:hyperlink>
          </w:p>
        </w:tc>
      </w:tr>
      <w:tr w:rsidR="00E226F3" w14:paraId="6946F33C" w14:textId="77777777" w:rsidTr="00BA7DB6">
        <w:tc>
          <w:tcPr>
            <w:tcW w:w="0" w:type="auto"/>
          </w:tcPr>
          <w:p w14:paraId="047446C1" w14:textId="77777777" w:rsidR="004422F5" w:rsidRDefault="004422F5" w:rsidP="00BA7DB6">
            <w:pPr>
              <w:spacing w:before="20" w:after="20"/>
              <w:rPr>
                <w:rFonts w:asciiTheme="minorHAnsi" w:hAnsiTheme="minorHAnsi"/>
                <w:lang w:val="en-NZ"/>
              </w:rPr>
            </w:pPr>
            <w:r w:rsidRPr="000D1385">
              <w:rPr>
                <w:rFonts w:asciiTheme="minorHAnsi" w:hAnsiTheme="minorHAnsi"/>
                <w:lang w:val="en-NZ"/>
              </w:rPr>
              <w:t>Sewage</w:t>
            </w:r>
            <w:r>
              <w:rPr>
                <w:rFonts w:asciiTheme="minorHAnsi" w:hAnsiTheme="minorHAnsi"/>
                <w:lang w:val="en-NZ"/>
              </w:rPr>
              <w:t xml:space="preserve"> upgrade, Whakarewarewa alternative</w:t>
            </w:r>
          </w:p>
        </w:tc>
        <w:tc>
          <w:tcPr>
            <w:tcW w:w="0" w:type="auto"/>
          </w:tcPr>
          <w:p w14:paraId="7BCB0C16" w14:textId="335A6444" w:rsidR="004422F5" w:rsidRDefault="004422F5" w:rsidP="00BA7DB6">
            <w:pPr>
              <w:spacing w:before="20" w:after="20"/>
              <w:rPr>
                <w:rFonts w:asciiTheme="minorHAnsi" w:hAnsiTheme="minorHAnsi"/>
                <w:lang w:val="en-NZ"/>
              </w:rPr>
            </w:pPr>
            <w:r>
              <w:rPr>
                <w:rFonts w:asciiTheme="minorHAnsi" w:hAnsiTheme="minorHAnsi"/>
                <w:lang w:val="en-NZ"/>
              </w:rPr>
              <w:t>Andy</w:t>
            </w:r>
            <w:r w:rsidR="006D5B61">
              <w:rPr>
                <w:rFonts w:asciiTheme="minorHAnsi" w:hAnsiTheme="minorHAnsi"/>
                <w:lang w:val="en-NZ"/>
              </w:rPr>
              <w:t xml:space="preserve"> </w:t>
            </w:r>
            <w:r w:rsidR="006516B8">
              <w:rPr>
                <w:rFonts w:asciiTheme="minorHAnsi" w:hAnsiTheme="minorHAnsi"/>
                <w:lang w:val="en-NZ"/>
              </w:rPr>
              <w:t xml:space="preserve">Bruere </w:t>
            </w:r>
            <w:r w:rsidR="006D5B61">
              <w:rPr>
                <w:rFonts w:asciiTheme="minorHAnsi" w:hAnsiTheme="minorHAnsi"/>
                <w:lang w:val="en-NZ"/>
              </w:rPr>
              <w:t>to advise</w:t>
            </w:r>
          </w:p>
        </w:tc>
        <w:tc>
          <w:tcPr>
            <w:tcW w:w="0" w:type="auto"/>
          </w:tcPr>
          <w:p w14:paraId="379BAE1D" w14:textId="77777777" w:rsidR="004422F5" w:rsidRDefault="004422F5" w:rsidP="00BA7DB6">
            <w:pPr>
              <w:spacing w:before="20" w:after="20"/>
              <w:rPr>
                <w:rFonts w:asciiTheme="minorHAnsi" w:hAnsiTheme="minorHAnsi"/>
                <w:lang w:val="en-NZ"/>
              </w:rPr>
            </w:pPr>
            <w:r>
              <w:rPr>
                <w:rFonts w:asciiTheme="minorHAnsi" w:hAnsiTheme="minorHAnsi"/>
                <w:lang w:val="en-NZ"/>
              </w:rPr>
              <w:t>Possibly little change due to high current P removal rates</w:t>
            </w:r>
          </w:p>
        </w:tc>
        <w:tc>
          <w:tcPr>
            <w:tcW w:w="0" w:type="auto"/>
          </w:tcPr>
          <w:p w14:paraId="6A736DC4" w14:textId="77777777" w:rsidR="004422F5" w:rsidRDefault="005C3522" w:rsidP="00BA7DB6">
            <w:pPr>
              <w:spacing w:before="20" w:after="20"/>
              <w:rPr>
                <w:rFonts w:asciiTheme="minorHAnsi" w:hAnsiTheme="minorHAnsi"/>
                <w:lang w:val="en-NZ"/>
              </w:rPr>
            </w:pPr>
            <w:hyperlink r:id="rId28" w:history="1">
              <w:r w:rsidR="00E226F3" w:rsidRPr="00E226F3">
                <w:rPr>
                  <w:rStyle w:val="Hyperlink"/>
                  <w:rFonts w:asciiTheme="minorHAnsi" w:hAnsiTheme="minorHAnsi"/>
                  <w:lang w:val="en-NZ"/>
                </w:rPr>
                <w:t>RLC summary</w:t>
              </w:r>
            </w:hyperlink>
          </w:p>
        </w:tc>
      </w:tr>
      <w:tr w:rsidR="00E226F3" w14:paraId="2D9C44BE" w14:textId="77777777" w:rsidTr="00BA7DB6">
        <w:tc>
          <w:tcPr>
            <w:tcW w:w="0" w:type="auto"/>
          </w:tcPr>
          <w:p w14:paraId="61EE2860" w14:textId="77777777" w:rsidR="004422F5" w:rsidRDefault="004422F5" w:rsidP="00BA7DB6">
            <w:pPr>
              <w:spacing w:before="20" w:after="20"/>
              <w:rPr>
                <w:rFonts w:asciiTheme="minorHAnsi" w:hAnsiTheme="minorHAnsi"/>
                <w:lang w:val="en-NZ"/>
              </w:rPr>
            </w:pPr>
            <w:r w:rsidRPr="000D1385">
              <w:rPr>
                <w:rFonts w:asciiTheme="minorHAnsi" w:hAnsiTheme="minorHAnsi"/>
                <w:lang w:val="en-NZ"/>
              </w:rPr>
              <w:t>Gorse</w:t>
            </w:r>
            <w:r>
              <w:rPr>
                <w:rFonts w:asciiTheme="minorHAnsi" w:hAnsiTheme="minorHAnsi"/>
                <w:lang w:val="en-NZ"/>
              </w:rPr>
              <w:t xml:space="preserve"> project</w:t>
            </w:r>
          </w:p>
        </w:tc>
        <w:tc>
          <w:tcPr>
            <w:tcW w:w="0" w:type="auto"/>
          </w:tcPr>
          <w:p w14:paraId="088FD414" w14:textId="77777777" w:rsidR="004422F5" w:rsidRDefault="004422F5" w:rsidP="00BA7DB6">
            <w:pPr>
              <w:spacing w:before="20" w:after="20"/>
              <w:rPr>
                <w:rFonts w:asciiTheme="minorHAnsi" w:hAnsiTheme="minorHAnsi"/>
                <w:lang w:val="en-NZ"/>
              </w:rPr>
            </w:pPr>
            <w:r>
              <w:rPr>
                <w:rFonts w:asciiTheme="minorHAnsi" w:hAnsiTheme="minorHAnsi"/>
                <w:lang w:val="en-NZ"/>
              </w:rPr>
              <w:t>Some gorse is grazed i.e. conversion to trees will reduce P loss</w:t>
            </w:r>
          </w:p>
        </w:tc>
        <w:tc>
          <w:tcPr>
            <w:tcW w:w="0" w:type="auto"/>
          </w:tcPr>
          <w:p w14:paraId="10C7B7A5" w14:textId="77777777" w:rsidR="004422F5" w:rsidRDefault="004422F5" w:rsidP="00BA7DB6">
            <w:pPr>
              <w:spacing w:before="20" w:after="20"/>
              <w:rPr>
                <w:rFonts w:asciiTheme="minorHAnsi" w:hAnsiTheme="minorHAnsi"/>
                <w:lang w:val="en-NZ"/>
              </w:rPr>
            </w:pPr>
            <w:r>
              <w:rPr>
                <w:rFonts w:asciiTheme="minorHAnsi" w:hAnsiTheme="minorHAnsi"/>
                <w:lang w:val="en-NZ"/>
              </w:rPr>
              <w:t>Minor, due to modest gorse areas and light grazing</w:t>
            </w:r>
          </w:p>
        </w:tc>
        <w:tc>
          <w:tcPr>
            <w:tcW w:w="0" w:type="auto"/>
          </w:tcPr>
          <w:p w14:paraId="58DCE724" w14:textId="77777777" w:rsidR="004422F5" w:rsidRDefault="005C3522" w:rsidP="00BA7DB6">
            <w:pPr>
              <w:spacing w:before="20" w:after="20"/>
              <w:rPr>
                <w:rFonts w:asciiTheme="minorHAnsi" w:hAnsiTheme="minorHAnsi"/>
                <w:lang w:val="en-NZ"/>
              </w:rPr>
            </w:pPr>
            <w:hyperlink r:id="rId29" w:history="1">
              <w:r w:rsidR="00FA613D">
                <w:rPr>
                  <w:rStyle w:val="Hyperlink"/>
                  <w:rFonts w:asciiTheme="minorHAnsi" w:hAnsiTheme="minorHAnsi"/>
                  <w:lang w:val="en-NZ"/>
                </w:rPr>
                <w:t>Gorse fund</w:t>
              </w:r>
            </w:hyperlink>
            <w:r w:rsidR="00FA613D">
              <w:rPr>
                <w:rFonts w:asciiTheme="minorHAnsi" w:hAnsiTheme="minorHAnsi"/>
                <w:lang w:val="en-NZ"/>
              </w:rPr>
              <w:t xml:space="preserve"> </w:t>
            </w:r>
          </w:p>
        </w:tc>
      </w:tr>
      <w:tr w:rsidR="00E226F3" w14:paraId="2C3DC77E" w14:textId="77777777" w:rsidTr="00BA7DB6">
        <w:tc>
          <w:tcPr>
            <w:tcW w:w="0" w:type="auto"/>
          </w:tcPr>
          <w:p w14:paraId="5F05FFBE" w14:textId="77777777" w:rsidR="004422F5" w:rsidRDefault="00FA613D" w:rsidP="00BA7DB6">
            <w:pPr>
              <w:spacing w:before="20" w:after="20"/>
              <w:rPr>
                <w:rFonts w:asciiTheme="minorHAnsi" w:hAnsiTheme="minorHAnsi"/>
                <w:lang w:val="en-NZ"/>
              </w:rPr>
            </w:pPr>
            <w:r>
              <w:rPr>
                <w:rFonts w:asciiTheme="minorHAnsi" w:hAnsiTheme="minorHAnsi"/>
                <w:lang w:val="en-NZ"/>
              </w:rPr>
              <w:t xml:space="preserve">Rotorua </w:t>
            </w:r>
            <w:r w:rsidR="004422F5" w:rsidRPr="000D1385">
              <w:rPr>
                <w:rFonts w:asciiTheme="minorHAnsi" w:hAnsiTheme="minorHAnsi"/>
                <w:lang w:val="en-NZ"/>
              </w:rPr>
              <w:t xml:space="preserve">District Plan </w:t>
            </w:r>
            <w:r>
              <w:rPr>
                <w:rFonts w:asciiTheme="minorHAnsi" w:hAnsiTheme="minorHAnsi"/>
                <w:lang w:val="en-NZ"/>
              </w:rPr>
              <w:t xml:space="preserve">(RDP) </w:t>
            </w:r>
            <w:r w:rsidR="004422F5" w:rsidRPr="000D1385">
              <w:rPr>
                <w:rFonts w:asciiTheme="minorHAnsi" w:hAnsiTheme="minorHAnsi"/>
                <w:lang w:val="en-NZ"/>
              </w:rPr>
              <w:t>subdivision</w:t>
            </w:r>
          </w:p>
        </w:tc>
        <w:tc>
          <w:tcPr>
            <w:tcW w:w="0" w:type="auto"/>
          </w:tcPr>
          <w:p w14:paraId="04310A3F" w14:textId="77777777" w:rsidR="004422F5" w:rsidRDefault="004422F5" w:rsidP="00BA7DB6">
            <w:pPr>
              <w:spacing w:before="20" w:after="20"/>
              <w:rPr>
                <w:rFonts w:asciiTheme="minorHAnsi" w:hAnsiTheme="minorHAnsi"/>
                <w:lang w:val="en-NZ"/>
              </w:rPr>
            </w:pPr>
            <w:r>
              <w:rPr>
                <w:rFonts w:asciiTheme="minorHAnsi" w:hAnsiTheme="minorHAnsi"/>
                <w:lang w:val="en-NZ"/>
              </w:rPr>
              <w:t>Landowners retiring 10 ha (dairy to drystock, or drystock to trees) gets one additional subdivision right</w:t>
            </w:r>
            <w:r w:rsidR="00FA613D">
              <w:rPr>
                <w:rFonts w:asciiTheme="minorHAnsi" w:hAnsiTheme="minorHAnsi"/>
                <w:lang w:val="en-NZ"/>
              </w:rPr>
              <w:t>. More generally, RDP objectives and policies links subdivision and water quality. supportive</w:t>
            </w:r>
          </w:p>
        </w:tc>
        <w:tc>
          <w:tcPr>
            <w:tcW w:w="0" w:type="auto"/>
          </w:tcPr>
          <w:p w14:paraId="6862CDC7" w14:textId="77777777" w:rsidR="00FA613D" w:rsidRDefault="004422F5" w:rsidP="00BA7DB6">
            <w:pPr>
              <w:spacing w:before="20" w:after="20"/>
              <w:rPr>
                <w:rFonts w:asciiTheme="minorHAnsi" w:hAnsiTheme="minorHAnsi"/>
                <w:lang w:val="en-NZ"/>
              </w:rPr>
            </w:pPr>
            <w:r>
              <w:rPr>
                <w:rFonts w:asciiTheme="minorHAnsi" w:hAnsiTheme="minorHAnsi"/>
                <w:lang w:val="en-NZ"/>
              </w:rPr>
              <w:t>Minor</w:t>
            </w:r>
          </w:p>
          <w:p w14:paraId="317D42A8" w14:textId="77777777" w:rsidR="004422F5" w:rsidRDefault="00FA613D" w:rsidP="00BA7DB6">
            <w:pPr>
              <w:spacing w:before="20" w:after="20"/>
              <w:rPr>
                <w:rFonts w:asciiTheme="minorHAnsi" w:hAnsiTheme="minorHAnsi"/>
                <w:lang w:val="en-NZ"/>
              </w:rPr>
            </w:pPr>
            <w:r>
              <w:rPr>
                <w:rFonts w:asciiTheme="minorHAnsi" w:hAnsiTheme="minorHAnsi"/>
                <w:lang w:val="en-NZ"/>
              </w:rPr>
              <w:t xml:space="preserve">Some subdivision-related land use change may be </w:t>
            </w:r>
            <w:r w:rsidR="004422F5">
              <w:rPr>
                <w:rFonts w:asciiTheme="minorHAnsi" w:hAnsiTheme="minorHAnsi"/>
                <w:lang w:val="en-NZ"/>
              </w:rPr>
              <w:t>accounted for via parallel incentives scheme deals</w:t>
            </w:r>
          </w:p>
        </w:tc>
        <w:tc>
          <w:tcPr>
            <w:tcW w:w="0" w:type="auto"/>
          </w:tcPr>
          <w:p w14:paraId="2D72E812" w14:textId="77777777" w:rsidR="004422F5" w:rsidRDefault="00FA613D" w:rsidP="00BA7DB6">
            <w:pPr>
              <w:spacing w:before="20" w:after="20"/>
              <w:rPr>
                <w:rFonts w:asciiTheme="minorHAnsi" w:hAnsiTheme="minorHAnsi"/>
                <w:lang w:val="en-NZ"/>
              </w:rPr>
            </w:pPr>
            <w:r>
              <w:rPr>
                <w:rFonts w:asciiTheme="minorHAnsi" w:hAnsiTheme="minorHAnsi"/>
                <w:lang w:val="en-NZ"/>
              </w:rPr>
              <w:t xml:space="preserve">Rotorua District Plan, </w:t>
            </w:r>
            <w:hyperlink r:id="rId30" w:history="1">
              <w:r>
                <w:rPr>
                  <w:rStyle w:val="Hyperlink"/>
                  <w:rFonts w:asciiTheme="minorHAnsi" w:hAnsiTheme="minorHAnsi"/>
                  <w:lang w:val="en-NZ"/>
                </w:rPr>
                <w:t>Objective 13.3.1 and Policies 13.3.1.1 on</w:t>
              </w:r>
            </w:hyperlink>
            <w:r>
              <w:rPr>
                <w:rFonts w:asciiTheme="minorHAnsi" w:hAnsiTheme="minorHAnsi"/>
                <w:lang w:val="en-NZ"/>
              </w:rPr>
              <w:t xml:space="preserve"> </w:t>
            </w:r>
          </w:p>
        </w:tc>
      </w:tr>
      <w:tr w:rsidR="00E226F3" w14:paraId="2ADF7B4E" w14:textId="77777777" w:rsidTr="00BA7DB6">
        <w:tc>
          <w:tcPr>
            <w:tcW w:w="0" w:type="auto"/>
          </w:tcPr>
          <w:p w14:paraId="591AF527" w14:textId="77777777" w:rsidR="004422F5" w:rsidRDefault="004422F5" w:rsidP="00BA7DB6">
            <w:pPr>
              <w:spacing w:before="20" w:after="20"/>
              <w:rPr>
                <w:rFonts w:asciiTheme="minorHAnsi" w:hAnsiTheme="minorHAnsi"/>
                <w:lang w:val="en-NZ"/>
              </w:rPr>
            </w:pPr>
            <w:r>
              <w:rPr>
                <w:rFonts w:asciiTheme="minorHAnsi" w:hAnsiTheme="minorHAnsi"/>
                <w:lang w:val="en-NZ"/>
              </w:rPr>
              <w:t>C</w:t>
            </w:r>
            <w:r w:rsidRPr="000D1385">
              <w:rPr>
                <w:rFonts w:asciiTheme="minorHAnsi" w:hAnsiTheme="minorHAnsi"/>
                <w:lang w:val="en-NZ"/>
              </w:rPr>
              <w:t>atchment m</w:t>
            </w:r>
            <w:r w:rsidR="00E226F3">
              <w:rPr>
                <w:rFonts w:asciiTheme="minorHAnsi" w:hAnsiTheme="minorHAnsi"/>
                <w:lang w:val="en-NZ"/>
              </w:rPr>
              <w:t>ana</w:t>
            </w:r>
            <w:r w:rsidRPr="000D1385">
              <w:rPr>
                <w:rFonts w:asciiTheme="minorHAnsi" w:hAnsiTheme="minorHAnsi"/>
                <w:lang w:val="en-NZ"/>
              </w:rPr>
              <w:t>g</w:t>
            </w:r>
            <w:r w:rsidR="00E226F3">
              <w:rPr>
                <w:rFonts w:asciiTheme="minorHAnsi" w:hAnsiTheme="minorHAnsi"/>
                <w:lang w:val="en-NZ"/>
              </w:rPr>
              <w:t xml:space="preserve">ement </w:t>
            </w:r>
          </w:p>
        </w:tc>
        <w:tc>
          <w:tcPr>
            <w:tcW w:w="0" w:type="auto"/>
          </w:tcPr>
          <w:p w14:paraId="7A3BC4D6" w14:textId="77777777" w:rsidR="004422F5" w:rsidRDefault="00E226F3" w:rsidP="00BA7DB6">
            <w:pPr>
              <w:spacing w:before="20" w:after="20"/>
              <w:rPr>
                <w:rFonts w:asciiTheme="minorHAnsi" w:hAnsiTheme="minorHAnsi"/>
                <w:lang w:val="en-NZ"/>
              </w:rPr>
            </w:pPr>
            <w:r>
              <w:rPr>
                <w:rFonts w:asciiTheme="minorHAnsi" w:hAnsiTheme="minorHAnsi"/>
                <w:lang w:val="en-NZ"/>
              </w:rPr>
              <w:t xml:space="preserve">BOPRC is working with a new (upper) </w:t>
            </w:r>
            <w:r w:rsidRPr="000D1385">
              <w:rPr>
                <w:rFonts w:asciiTheme="minorHAnsi" w:hAnsiTheme="minorHAnsi"/>
                <w:lang w:val="en-NZ"/>
              </w:rPr>
              <w:t>Ngongotaha group</w:t>
            </w:r>
            <w:r>
              <w:rPr>
                <w:rFonts w:asciiTheme="minorHAnsi" w:hAnsiTheme="minorHAnsi"/>
                <w:lang w:val="en-NZ"/>
              </w:rPr>
              <w:t xml:space="preserve"> to tackle flood and erosion damage. This will reduce sediment and P loss</w:t>
            </w:r>
          </w:p>
        </w:tc>
        <w:tc>
          <w:tcPr>
            <w:tcW w:w="0" w:type="auto"/>
          </w:tcPr>
          <w:p w14:paraId="61FB469E" w14:textId="77777777" w:rsidR="00E226F3" w:rsidRDefault="004422F5" w:rsidP="00BA7DB6">
            <w:pPr>
              <w:spacing w:before="20" w:after="20"/>
              <w:rPr>
                <w:rFonts w:asciiTheme="minorHAnsi" w:hAnsiTheme="minorHAnsi"/>
                <w:lang w:val="en-NZ"/>
              </w:rPr>
            </w:pPr>
            <w:r>
              <w:rPr>
                <w:rFonts w:asciiTheme="minorHAnsi" w:hAnsiTheme="minorHAnsi"/>
                <w:lang w:val="en-NZ"/>
              </w:rPr>
              <w:t>Unknown</w:t>
            </w:r>
          </w:p>
          <w:p w14:paraId="7FD1056B" w14:textId="77777777" w:rsidR="004422F5" w:rsidRDefault="00E226F3" w:rsidP="00BA7DB6">
            <w:pPr>
              <w:spacing w:before="20" w:after="20"/>
              <w:rPr>
                <w:rFonts w:asciiTheme="minorHAnsi" w:hAnsiTheme="minorHAnsi"/>
                <w:lang w:val="en-NZ"/>
              </w:rPr>
            </w:pPr>
            <w:r>
              <w:rPr>
                <w:rFonts w:asciiTheme="minorHAnsi" w:hAnsiTheme="minorHAnsi"/>
                <w:lang w:val="en-NZ"/>
              </w:rPr>
              <w:t>P</w:t>
            </w:r>
            <w:r w:rsidR="004422F5">
              <w:rPr>
                <w:rFonts w:asciiTheme="minorHAnsi" w:hAnsiTheme="minorHAnsi"/>
                <w:lang w:val="en-NZ"/>
              </w:rPr>
              <w:t xml:space="preserve">otentially </w:t>
            </w:r>
            <w:r>
              <w:rPr>
                <w:rFonts w:asciiTheme="minorHAnsi" w:hAnsiTheme="minorHAnsi"/>
                <w:lang w:val="en-NZ"/>
              </w:rPr>
              <w:t xml:space="preserve">this is </w:t>
            </w:r>
            <w:r w:rsidR="004422F5">
              <w:rPr>
                <w:rFonts w:asciiTheme="minorHAnsi" w:hAnsiTheme="minorHAnsi"/>
                <w:lang w:val="en-NZ"/>
              </w:rPr>
              <w:t>avoiding increased P losses</w:t>
            </w:r>
          </w:p>
        </w:tc>
        <w:tc>
          <w:tcPr>
            <w:tcW w:w="0" w:type="auto"/>
          </w:tcPr>
          <w:p w14:paraId="10C9DAE7" w14:textId="77777777" w:rsidR="004422F5" w:rsidRDefault="00E226F3" w:rsidP="00BA7DB6">
            <w:pPr>
              <w:spacing w:before="20" w:after="20"/>
              <w:rPr>
                <w:rFonts w:asciiTheme="minorHAnsi" w:hAnsiTheme="minorHAnsi"/>
                <w:lang w:val="en-NZ"/>
              </w:rPr>
            </w:pPr>
            <w:r>
              <w:rPr>
                <w:rFonts w:asciiTheme="minorHAnsi" w:hAnsiTheme="minorHAnsi"/>
                <w:lang w:val="en-NZ"/>
              </w:rPr>
              <w:t>John Paterson</w:t>
            </w:r>
          </w:p>
        </w:tc>
      </w:tr>
      <w:tr w:rsidR="00E226F3" w14:paraId="1B488BB1" w14:textId="77777777" w:rsidTr="00BA7DB6">
        <w:tc>
          <w:tcPr>
            <w:tcW w:w="0" w:type="auto"/>
          </w:tcPr>
          <w:p w14:paraId="5A8A1954" w14:textId="77777777" w:rsidR="004422F5" w:rsidRDefault="00E226F3" w:rsidP="00BA7DB6">
            <w:pPr>
              <w:spacing w:before="20" w:after="20"/>
              <w:rPr>
                <w:rFonts w:asciiTheme="minorHAnsi" w:hAnsiTheme="minorHAnsi"/>
                <w:lang w:val="en-NZ"/>
              </w:rPr>
            </w:pPr>
            <w:r>
              <w:rPr>
                <w:rFonts w:asciiTheme="minorHAnsi" w:hAnsiTheme="minorHAnsi"/>
                <w:lang w:val="en-NZ"/>
              </w:rPr>
              <w:t xml:space="preserve">SFF </w:t>
            </w:r>
            <w:r w:rsidR="004422F5" w:rsidRPr="000D1385">
              <w:rPr>
                <w:rFonts w:asciiTheme="minorHAnsi" w:hAnsiTheme="minorHAnsi"/>
                <w:lang w:val="en-NZ"/>
              </w:rPr>
              <w:t>P project</w:t>
            </w:r>
          </w:p>
        </w:tc>
        <w:tc>
          <w:tcPr>
            <w:tcW w:w="0" w:type="auto"/>
          </w:tcPr>
          <w:p w14:paraId="7EFA9BFB" w14:textId="77777777" w:rsidR="004422F5" w:rsidRDefault="00E226F3" w:rsidP="00BA7DB6">
            <w:pPr>
              <w:spacing w:before="20" w:after="20"/>
              <w:rPr>
                <w:rFonts w:asciiTheme="minorHAnsi" w:hAnsiTheme="minorHAnsi"/>
                <w:lang w:val="en-NZ"/>
              </w:rPr>
            </w:pPr>
            <w:r>
              <w:rPr>
                <w:rFonts w:asciiTheme="minorHAnsi" w:hAnsiTheme="minorHAnsi"/>
                <w:lang w:val="en-NZ"/>
              </w:rPr>
              <w:t>This project led by John Paterson and farmers aims to quantify the efficacy of farm detainment bunds and other P mitigations</w:t>
            </w:r>
          </w:p>
        </w:tc>
        <w:tc>
          <w:tcPr>
            <w:tcW w:w="0" w:type="auto"/>
          </w:tcPr>
          <w:p w14:paraId="6F3EDEAC" w14:textId="77777777" w:rsidR="00E226F3" w:rsidRDefault="00E226F3" w:rsidP="00BA7DB6">
            <w:pPr>
              <w:spacing w:before="20" w:after="20"/>
              <w:rPr>
                <w:rFonts w:asciiTheme="minorHAnsi" w:hAnsiTheme="minorHAnsi"/>
                <w:lang w:val="en-NZ"/>
              </w:rPr>
            </w:pPr>
            <w:r>
              <w:rPr>
                <w:rFonts w:asciiTheme="minorHAnsi" w:hAnsiTheme="minorHAnsi"/>
                <w:lang w:val="en-NZ"/>
              </w:rPr>
              <w:t>Unknown</w:t>
            </w:r>
          </w:p>
        </w:tc>
        <w:tc>
          <w:tcPr>
            <w:tcW w:w="0" w:type="auto"/>
          </w:tcPr>
          <w:p w14:paraId="59F15B4D" w14:textId="77777777" w:rsidR="004422F5" w:rsidRDefault="005C3522" w:rsidP="00BA7DB6">
            <w:pPr>
              <w:spacing w:before="20" w:after="20"/>
              <w:rPr>
                <w:rFonts w:asciiTheme="minorHAnsi" w:hAnsiTheme="minorHAnsi"/>
                <w:lang w:val="en-NZ"/>
              </w:rPr>
            </w:pPr>
            <w:hyperlink r:id="rId31" w:history="1">
              <w:r w:rsidR="00E226F3" w:rsidRPr="00E226F3">
                <w:rPr>
                  <w:rStyle w:val="Hyperlink"/>
                  <w:rFonts w:asciiTheme="minorHAnsi" w:hAnsiTheme="minorHAnsi"/>
                  <w:lang w:val="en-NZ"/>
                </w:rPr>
                <w:t>Summary</w:t>
              </w:r>
            </w:hyperlink>
          </w:p>
        </w:tc>
      </w:tr>
      <w:tr w:rsidR="00E226F3" w14:paraId="11BDC482" w14:textId="77777777" w:rsidTr="00BA7DB6">
        <w:tc>
          <w:tcPr>
            <w:tcW w:w="0" w:type="auto"/>
          </w:tcPr>
          <w:p w14:paraId="4923BC4C" w14:textId="77777777" w:rsidR="004422F5" w:rsidRPr="000D1385" w:rsidRDefault="004422F5" w:rsidP="00BA7DB6">
            <w:pPr>
              <w:spacing w:before="20" w:after="20"/>
              <w:rPr>
                <w:rFonts w:asciiTheme="minorHAnsi" w:hAnsiTheme="minorHAnsi"/>
                <w:lang w:val="en-NZ"/>
              </w:rPr>
            </w:pPr>
            <w:r w:rsidRPr="000D1385">
              <w:rPr>
                <w:rFonts w:asciiTheme="minorHAnsi" w:hAnsiTheme="minorHAnsi"/>
                <w:lang w:val="en-NZ"/>
              </w:rPr>
              <w:t>Urban stormwater</w:t>
            </w:r>
          </w:p>
        </w:tc>
        <w:tc>
          <w:tcPr>
            <w:tcW w:w="0" w:type="auto"/>
          </w:tcPr>
          <w:p w14:paraId="7AFB95E2" w14:textId="77777777" w:rsidR="004422F5" w:rsidRDefault="006D5B61" w:rsidP="00BA7DB6">
            <w:pPr>
              <w:spacing w:before="20" w:after="20"/>
              <w:rPr>
                <w:rFonts w:asciiTheme="minorHAnsi" w:hAnsiTheme="minorHAnsi"/>
                <w:lang w:val="en-NZ"/>
              </w:rPr>
            </w:pPr>
            <w:r>
              <w:rPr>
                <w:rFonts w:asciiTheme="minorHAnsi" w:hAnsiTheme="minorHAnsi"/>
                <w:lang w:val="en-NZ"/>
              </w:rPr>
              <w:t xml:space="preserve">An action </w:t>
            </w:r>
            <w:r w:rsidR="00E226F3">
              <w:rPr>
                <w:rFonts w:asciiTheme="minorHAnsi" w:hAnsiTheme="minorHAnsi"/>
                <w:lang w:val="en-NZ"/>
              </w:rPr>
              <w:t xml:space="preserve">identified </w:t>
            </w:r>
            <w:r>
              <w:rPr>
                <w:rFonts w:asciiTheme="minorHAnsi" w:hAnsiTheme="minorHAnsi"/>
                <w:lang w:val="en-NZ"/>
              </w:rPr>
              <w:t xml:space="preserve">in the 2009 Rotorua-Rotoiti Action Plan </w:t>
            </w:r>
          </w:p>
        </w:tc>
        <w:tc>
          <w:tcPr>
            <w:tcW w:w="0" w:type="auto"/>
          </w:tcPr>
          <w:p w14:paraId="20B1FCFC" w14:textId="77777777" w:rsidR="004422F5" w:rsidRDefault="00E226F3" w:rsidP="00BA7DB6">
            <w:pPr>
              <w:spacing w:before="20" w:after="20"/>
              <w:rPr>
                <w:rFonts w:asciiTheme="minorHAnsi" w:hAnsiTheme="minorHAnsi"/>
                <w:lang w:val="en-NZ"/>
              </w:rPr>
            </w:pPr>
            <w:r>
              <w:rPr>
                <w:rFonts w:asciiTheme="minorHAnsi" w:hAnsiTheme="minorHAnsi"/>
                <w:lang w:val="en-NZ"/>
              </w:rPr>
              <w:t xml:space="preserve">Estimated </w:t>
            </w:r>
            <w:r w:rsidR="006D5B61">
              <w:rPr>
                <w:rFonts w:asciiTheme="minorHAnsi" w:hAnsiTheme="minorHAnsi"/>
                <w:lang w:val="en-NZ"/>
              </w:rPr>
              <w:t>0.5 tP/yr</w:t>
            </w:r>
          </w:p>
        </w:tc>
        <w:tc>
          <w:tcPr>
            <w:tcW w:w="0" w:type="auto"/>
          </w:tcPr>
          <w:p w14:paraId="67430904" w14:textId="77777777" w:rsidR="004422F5" w:rsidRDefault="005C3522" w:rsidP="00BA7DB6">
            <w:pPr>
              <w:spacing w:before="20" w:after="20"/>
              <w:rPr>
                <w:rFonts w:asciiTheme="minorHAnsi" w:hAnsiTheme="minorHAnsi"/>
                <w:lang w:val="en-NZ"/>
              </w:rPr>
            </w:pPr>
            <w:hyperlink r:id="rId32" w:history="1">
              <w:r w:rsidR="006D5B61" w:rsidRPr="006D5B61">
                <w:rPr>
                  <w:rStyle w:val="Hyperlink"/>
                  <w:rFonts w:asciiTheme="minorHAnsi" w:hAnsiTheme="minorHAnsi"/>
                  <w:lang w:val="en-NZ"/>
                </w:rPr>
                <w:t>Action Plan</w:t>
              </w:r>
            </w:hyperlink>
          </w:p>
        </w:tc>
      </w:tr>
    </w:tbl>
    <w:p w14:paraId="48569DAD" w14:textId="48855848" w:rsidR="00C36EB0" w:rsidRDefault="00C36EB0" w:rsidP="00DC1D45">
      <w:pPr>
        <w:spacing w:before="60" w:after="60"/>
        <w:rPr>
          <w:rFonts w:asciiTheme="minorHAnsi" w:hAnsiTheme="minorHAnsi"/>
          <w:b/>
          <w:sz w:val="28"/>
          <w:szCs w:val="28"/>
          <w:lang w:val="en-NZ"/>
        </w:rPr>
      </w:pPr>
      <w:r>
        <w:rPr>
          <w:rFonts w:asciiTheme="minorHAnsi" w:hAnsiTheme="minorHAnsi" w:cs="Calibri"/>
          <w:b/>
          <w:sz w:val="28"/>
          <w:szCs w:val="28"/>
          <w:lang w:val="en-NZ"/>
        </w:rPr>
        <w:pict w14:anchorId="4943C910">
          <v:rect id="_x0000_i1030" style="width:0;height:1.5pt" o:hralign="center" o:hrstd="t" o:hr="t" fillcolor="#a0a0a0" stroked="f"/>
        </w:pict>
      </w:r>
    </w:p>
    <w:p w14:paraId="0C4B8776" w14:textId="705357A7" w:rsidR="00B77D60" w:rsidRPr="000D1385" w:rsidRDefault="00B77D60" w:rsidP="00DC1D45">
      <w:pPr>
        <w:spacing w:before="60" w:after="60"/>
        <w:rPr>
          <w:rFonts w:asciiTheme="minorHAnsi" w:hAnsiTheme="minorHAnsi"/>
          <w:b/>
          <w:sz w:val="28"/>
          <w:szCs w:val="28"/>
          <w:lang w:val="en-NZ"/>
        </w:rPr>
      </w:pPr>
      <w:r w:rsidRPr="000D1385">
        <w:rPr>
          <w:rFonts w:asciiTheme="minorHAnsi" w:hAnsiTheme="minorHAnsi"/>
          <w:b/>
          <w:sz w:val="28"/>
          <w:szCs w:val="28"/>
          <w:lang w:val="en-NZ"/>
        </w:rPr>
        <w:lastRenderedPageBreak/>
        <w:t>Appendi</w:t>
      </w:r>
      <w:r w:rsidR="002A0772">
        <w:rPr>
          <w:rFonts w:asciiTheme="minorHAnsi" w:hAnsiTheme="minorHAnsi"/>
          <w:b/>
          <w:sz w:val="28"/>
          <w:szCs w:val="28"/>
          <w:lang w:val="en-NZ"/>
        </w:rPr>
        <w:t>x</w:t>
      </w:r>
      <w:r w:rsidR="000A61A5">
        <w:rPr>
          <w:rFonts w:asciiTheme="minorHAnsi" w:hAnsiTheme="minorHAnsi"/>
          <w:b/>
          <w:sz w:val="28"/>
          <w:szCs w:val="28"/>
          <w:lang w:val="en-NZ"/>
        </w:rPr>
        <w:t xml:space="preserve"> 1</w:t>
      </w:r>
    </w:p>
    <w:p w14:paraId="4898730A" w14:textId="77777777" w:rsidR="00B77D60" w:rsidRPr="000D1385" w:rsidRDefault="00B77D60" w:rsidP="00DC1D45">
      <w:pPr>
        <w:spacing w:before="60" w:after="60"/>
        <w:rPr>
          <w:rFonts w:asciiTheme="minorHAnsi" w:hAnsiTheme="minorHAnsi"/>
          <w:lang w:val="en-NZ"/>
        </w:rPr>
      </w:pPr>
      <w:r w:rsidRPr="000D1385">
        <w:rPr>
          <w:rFonts w:asciiTheme="minorHAnsi" w:hAnsiTheme="minorHAnsi"/>
          <w:lang w:val="en-NZ"/>
        </w:rPr>
        <w:t>Extract from</w:t>
      </w:r>
      <w:r w:rsidR="004E42C1" w:rsidRPr="000D1385">
        <w:rPr>
          <w:rFonts w:asciiTheme="minorHAnsi" w:hAnsiTheme="minorHAnsi"/>
          <w:lang w:val="en-NZ"/>
        </w:rPr>
        <w:t xml:space="preserve"> </w:t>
      </w:r>
      <w:hyperlink r:id="rId33" w:history="1">
        <w:r w:rsidR="004E42C1" w:rsidRPr="000D1385">
          <w:rPr>
            <w:rStyle w:val="Hyperlink"/>
            <w:rFonts w:asciiTheme="minorHAnsi" w:hAnsiTheme="minorHAnsi"/>
            <w:lang w:val="en-NZ"/>
          </w:rPr>
          <w:t>McDowell 2010</w:t>
        </w:r>
      </w:hyperlink>
      <w:r w:rsidR="004E42C1" w:rsidRPr="000D1385">
        <w:rPr>
          <w:rFonts w:asciiTheme="minorHAnsi" w:hAnsiTheme="minorHAnsi"/>
          <w:lang w:val="en-NZ"/>
        </w:rPr>
        <w:t>:</w:t>
      </w:r>
    </w:p>
    <w:p w14:paraId="1B8210D0" w14:textId="27C047F4" w:rsidR="00B77D60" w:rsidRDefault="00B77D60" w:rsidP="00DC1D45">
      <w:pPr>
        <w:spacing w:before="60" w:after="60"/>
        <w:rPr>
          <w:rFonts w:asciiTheme="minorHAnsi" w:hAnsiTheme="minorHAnsi"/>
          <w:b/>
          <w:sz w:val="28"/>
          <w:szCs w:val="28"/>
          <w:lang w:val="en-NZ"/>
        </w:rPr>
      </w:pPr>
      <w:r w:rsidRPr="000D1385">
        <w:rPr>
          <w:noProof/>
        </w:rPr>
        <w:drawing>
          <wp:inline distT="0" distB="0" distL="0" distR="0" wp14:anchorId="12E6C713" wp14:editId="3A6FDA3A">
            <wp:extent cx="5657850" cy="548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657850" cy="5486400"/>
                    </a:xfrm>
                    <a:prstGeom prst="rect">
                      <a:avLst/>
                    </a:prstGeom>
                  </pic:spPr>
                </pic:pic>
              </a:graphicData>
            </a:graphic>
          </wp:inline>
        </w:drawing>
      </w:r>
    </w:p>
    <w:p w14:paraId="59B81F24" w14:textId="77777777" w:rsidR="000D5F90" w:rsidRDefault="000D5F90">
      <w:pPr>
        <w:spacing w:after="0" w:line="240" w:lineRule="auto"/>
        <w:rPr>
          <w:rFonts w:asciiTheme="minorHAnsi" w:hAnsiTheme="minorHAnsi"/>
          <w:b/>
          <w:sz w:val="28"/>
          <w:szCs w:val="28"/>
          <w:lang w:val="en-NZ"/>
        </w:rPr>
      </w:pPr>
      <w:r>
        <w:rPr>
          <w:rFonts w:asciiTheme="minorHAnsi" w:hAnsiTheme="minorHAnsi"/>
          <w:b/>
          <w:sz w:val="28"/>
          <w:szCs w:val="28"/>
          <w:lang w:val="en-NZ"/>
        </w:rPr>
        <w:br w:type="page"/>
      </w:r>
    </w:p>
    <w:p w14:paraId="32D74039" w14:textId="3F41C890" w:rsidR="000A61A5" w:rsidRPr="000D1385" w:rsidRDefault="000A61A5" w:rsidP="000A61A5">
      <w:pPr>
        <w:spacing w:before="60" w:after="60"/>
        <w:rPr>
          <w:rFonts w:asciiTheme="minorHAnsi" w:hAnsiTheme="minorHAnsi"/>
          <w:b/>
          <w:sz w:val="28"/>
          <w:szCs w:val="28"/>
          <w:lang w:val="en-NZ"/>
        </w:rPr>
      </w:pPr>
      <w:r w:rsidRPr="000D1385">
        <w:rPr>
          <w:rFonts w:asciiTheme="minorHAnsi" w:hAnsiTheme="minorHAnsi"/>
          <w:b/>
          <w:sz w:val="28"/>
          <w:szCs w:val="28"/>
          <w:lang w:val="en-NZ"/>
        </w:rPr>
        <w:lastRenderedPageBreak/>
        <w:t>Appendi</w:t>
      </w:r>
      <w:r>
        <w:rPr>
          <w:rFonts w:asciiTheme="minorHAnsi" w:hAnsiTheme="minorHAnsi"/>
          <w:b/>
          <w:sz w:val="28"/>
          <w:szCs w:val="28"/>
          <w:lang w:val="en-NZ"/>
        </w:rPr>
        <w:t>x 2</w:t>
      </w:r>
    </w:p>
    <w:p w14:paraId="7951F4D7" w14:textId="1C619540" w:rsidR="000D5F90" w:rsidRDefault="000A61A5" w:rsidP="000A61A5">
      <w:pPr>
        <w:spacing w:before="60" w:after="60"/>
        <w:rPr>
          <w:rFonts w:asciiTheme="minorHAnsi" w:hAnsiTheme="minorHAnsi"/>
          <w:lang w:val="en-NZ"/>
        </w:rPr>
      </w:pPr>
      <w:r>
        <w:rPr>
          <w:rFonts w:asciiTheme="minorHAnsi" w:hAnsiTheme="minorHAnsi"/>
          <w:lang w:val="en-NZ"/>
        </w:rPr>
        <w:t xml:space="preserve">Summary of </w:t>
      </w:r>
      <w:r w:rsidR="000D5F90">
        <w:rPr>
          <w:rFonts w:asciiTheme="minorHAnsi" w:hAnsiTheme="minorHAnsi"/>
          <w:lang w:val="en-NZ"/>
        </w:rPr>
        <w:t xml:space="preserve">B&amp;LNZ practices rated high </w:t>
      </w:r>
      <w:r w:rsidR="00A82A2F">
        <w:rPr>
          <w:rFonts w:asciiTheme="minorHAnsi" w:hAnsiTheme="minorHAnsi"/>
          <w:lang w:val="en-NZ"/>
        </w:rPr>
        <w:t xml:space="preserve">‘likely water quality benefit’ </w:t>
      </w:r>
      <w:r w:rsidR="00A82A2F" w:rsidRPr="00A82A2F">
        <w:rPr>
          <w:rFonts w:asciiTheme="minorHAnsi" w:hAnsiTheme="minorHAnsi"/>
          <w:b/>
          <w:lang w:val="en-NZ"/>
        </w:rPr>
        <w:t>for either N or P</w:t>
      </w:r>
      <w:r w:rsidR="0034515E">
        <w:rPr>
          <w:rFonts w:asciiTheme="minorHAnsi" w:hAnsiTheme="minorHAnsi"/>
          <w:lang w:val="en-NZ"/>
        </w:rPr>
        <w:t>.</w:t>
      </w:r>
      <w:r w:rsidR="00A82A2F">
        <w:rPr>
          <w:rFonts w:asciiTheme="minorHAnsi" w:hAnsiTheme="minorHAnsi"/>
          <w:lang w:val="en-NZ"/>
        </w:rPr>
        <w:t xml:space="preserve"> </w:t>
      </w:r>
      <w:r w:rsidR="000D5F90">
        <w:rPr>
          <w:rFonts w:asciiTheme="minorHAnsi" w:hAnsiTheme="minorHAnsi"/>
          <w:lang w:val="en-NZ"/>
        </w:rPr>
        <w:t xml:space="preserve">See </w:t>
      </w:r>
      <w:hyperlink r:id="rId35" w:history="1">
        <w:r w:rsidR="000D5F90" w:rsidRPr="000D5F90">
          <w:rPr>
            <w:rStyle w:val="Hyperlink"/>
            <w:rFonts w:asciiTheme="minorHAnsi" w:hAnsiTheme="minorHAnsi"/>
            <w:lang w:val="en-NZ"/>
          </w:rPr>
          <w:t>B&amp;LNZ</w:t>
        </w:r>
        <w:r w:rsidR="000D5F90">
          <w:rPr>
            <w:rStyle w:val="Hyperlink"/>
            <w:rFonts w:asciiTheme="minorHAnsi" w:hAnsiTheme="minorHAnsi"/>
            <w:lang w:val="en-NZ"/>
          </w:rPr>
          <w:t>’s</w:t>
        </w:r>
        <w:r w:rsidR="000D5F90" w:rsidRPr="000D5F90">
          <w:rPr>
            <w:rStyle w:val="Hyperlink"/>
            <w:rFonts w:asciiTheme="minorHAnsi" w:hAnsiTheme="minorHAnsi"/>
            <w:lang w:val="en-NZ"/>
          </w:rPr>
          <w:t xml:space="preserve"> report</w:t>
        </w:r>
      </w:hyperlink>
      <w:r w:rsidR="000D5F90">
        <w:rPr>
          <w:rFonts w:asciiTheme="minorHAnsi" w:hAnsiTheme="minorHAnsi"/>
          <w:lang w:val="en-NZ"/>
        </w:rPr>
        <w:t xml:space="preserve"> for </w:t>
      </w:r>
      <w:r w:rsidR="0034515E">
        <w:rPr>
          <w:rFonts w:asciiTheme="minorHAnsi" w:hAnsiTheme="minorHAnsi"/>
          <w:lang w:val="en-NZ"/>
        </w:rPr>
        <w:t xml:space="preserve">the full list of practices and </w:t>
      </w:r>
      <w:r w:rsidR="000D5F90">
        <w:rPr>
          <w:rFonts w:asciiTheme="minorHAnsi" w:hAnsiTheme="minorHAnsi"/>
          <w:lang w:val="en-NZ"/>
        </w:rPr>
        <w:t>explanation</w:t>
      </w:r>
      <w:r w:rsidR="0034515E">
        <w:rPr>
          <w:rFonts w:asciiTheme="minorHAnsi" w:hAnsiTheme="minorHAnsi"/>
          <w:lang w:val="en-NZ"/>
        </w:rPr>
        <w:t>s</w:t>
      </w:r>
      <w:r w:rsidR="000D5F90">
        <w:rPr>
          <w:rFonts w:asciiTheme="minorHAnsi" w:hAnsiTheme="minorHAnsi"/>
          <w:lang w:val="en-NZ"/>
        </w:rPr>
        <w:t xml:space="preserve"> of high, medium</w:t>
      </w:r>
      <w:r w:rsidR="0034515E">
        <w:rPr>
          <w:rFonts w:asciiTheme="minorHAnsi" w:hAnsiTheme="minorHAnsi"/>
          <w:lang w:val="en-NZ"/>
        </w:rPr>
        <w:t>,</w:t>
      </w:r>
      <w:r w:rsidR="000D5F90">
        <w:rPr>
          <w:rFonts w:asciiTheme="minorHAnsi" w:hAnsiTheme="minorHAnsi"/>
          <w:lang w:val="en-NZ"/>
        </w:rPr>
        <w:t xml:space="preserve"> low </w:t>
      </w:r>
      <w:r w:rsidR="0034515E">
        <w:rPr>
          <w:rFonts w:asciiTheme="minorHAnsi" w:hAnsiTheme="minorHAnsi"/>
          <w:lang w:val="en-NZ"/>
        </w:rPr>
        <w:t xml:space="preserve">(noted briefly in section </w:t>
      </w:r>
      <w:r w:rsidR="0034515E">
        <w:rPr>
          <w:rFonts w:asciiTheme="minorHAnsi" w:hAnsiTheme="minorHAnsi"/>
          <w:lang w:val="en-NZ"/>
        </w:rPr>
        <w:fldChar w:fldCharType="begin"/>
      </w:r>
      <w:r w:rsidR="0034515E">
        <w:rPr>
          <w:rFonts w:asciiTheme="minorHAnsi" w:hAnsiTheme="minorHAnsi"/>
          <w:lang w:val="en-NZ"/>
        </w:rPr>
        <w:instrText xml:space="preserve"> REF _Ref475650386 \r \h </w:instrText>
      </w:r>
      <w:r w:rsidR="0034515E">
        <w:rPr>
          <w:rFonts w:asciiTheme="minorHAnsi" w:hAnsiTheme="minorHAnsi"/>
          <w:lang w:val="en-NZ"/>
        </w:rPr>
      </w:r>
      <w:r w:rsidR="0034515E">
        <w:rPr>
          <w:rFonts w:asciiTheme="minorHAnsi" w:hAnsiTheme="minorHAnsi"/>
          <w:lang w:val="en-NZ"/>
        </w:rPr>
        <w:fldChar w:fldCharType="separate"/>
      </w:r>
      <w:r w:rsidR="004F48D0">
        <w:rPr>
          <w:rFonts w:asciiTheme="minorHAnsi" w:hAnsiTheme="minorHAnsi"/>
          <w:lang w:val="en-NZ"/>
        </w:rPr>
        <w:t>1.2</w:t>
      </w:r>
      <w:r w:rsidR="0034515E">
        <w:rPr>
          <w:rFonts w:asciiTheme="minorHAnsi" w:hAnsiTheme="minorHAnsi"/>
          <w:lang w:val="en-NZ"/>
        </w:rPr>
        <w:fldChar w:fldCharType="end"/>
      </w:r>
      <w:r w:rsidR="0034515E">
        <w:rPr>
          <w:rFonts w:asciiTheme="minorHAnsi" w:hAnsiTheme="minorHAnsi"/>
          <w:lang w:val="en-NZ"/>
        </w:rPr>
        <w:t xml:space="preserve"> of this review) </w:t>
      </w:r>
      <w:r w:rsidR="000D5F90">
        <w:rPr>
          <w:rFonts w:asciiTheme="minorHAnsi" w:hAnsiTheme="minorHAnsi"/>
          <w:lang w:val="en-NZ"/>
        </w:rPr>
        <w:t xml:space="preserve">and </w:t>
      </w:r>
      <w:r w:rsidR="0034515E">
        <w:rPr>
          <w:rFonts w:asciiTheme="minorHAnsi" w:hAnsiTheme="minorHAnsi"/>
          <w:lang w:val="en-NZ"/>
        </w:rPr>
        <w:t xml:space="preserve">the cost/benefit ratings of </w:t>
      </w:r>
      <w:r w:rsidR="000D5F90">
        <w:rPr>
          <w:rFonts w:asciiTheme="minorHAnsi" w:hAnsiTheme="minorHAnsi"/>
          <w:lang w:val="en-NZ"/>
        </w:rPr>
        <w:t>$</w:t>
      </w:r>
      <w:r w:rsidR="0034515E">
        <w:rPr>
          <w:rFonts w:asciiTheme="minorHAnsi" w:hAnsiTheme="minorHAnsi"/>
          <w:lang w:val="en-NZ"/>
        </w:rPr>
        <w:t xml:space="preserve">, </w:t>
      </w:r>
      <w:r w:rsidR="000D5F90">
        <w:rPr>
          <w:rFonts w:asciiTheme="minorHAnsi" w:hAnsiTheme="minorHAnsi"/>
          <w:lang w:val="en-NZ"/>
        </w:rPr>
        <w:t>$$</w:t>
      </w:r>
      <w:r w:rsidR="0034515E">
        <w:rPr>
          <w:rFonts w:asciiTheme="minorHAnsi" w:hAnsiTheme="minorHAnsi"/>
          <w:lang w:val="en-NZ"/>
        </w:rPr>
        <w:t xml:space="preserve"> and </w:t>
      </w:r>
      <w:r w:rsidR="000D5F90">
        <w:rPr>
          <w:rFonts w:asciiTheme="minorHAnsi" w:hAnsiTheme="minorHAnsi"/>
          <w:lang w:val="en-NZ"/>
        </w:rPr>
        <w:t xml:space="preserve">$$$ </w:t>
      </w:r>
    </w:p>
    <w:tbl>
      <w:tblPr>
        <w:tblStyle w:val="TableGrid"/>
        <w:tblW w:w="0" w:type="auto"/>
        <w:tblLook w:val="04A0" w:firstRow="1" w:lastRow="0" w:firstColumn="1" w:lastColumn="0" w:noHBand="0" w:noVBand="1"/>
      </w:tblPr>
      <w:tblGrid>
        <w:gridCol w:w="5159"/>
        <w:gridCol w:w="1103"/>
        <w:gridCol w:w="1077"/>
        <w:gridCol w:w="885"/>
        <w:gridCol w:w="1308"/>
      </w:tblGrid>
      <w:tr w:rsidR="000D5F90" w:rsidRPr="00A82A2F" w14:paraId="14E51CA2" w14:textId="77777777" w:rsidTr="00A82A2F">
        <w:tc>
          <w:tcPr>
            <w:tcW w:w="0" w:type="auto"/>
          </w:tcPr>
          <w:p w14:paraId="05645D18" w14:textId="26BBE523" w:rsidR="000D5F90" w:rsidRPr="00A82A2F" w:rsidRDefault="000D5F90" w:rsidP="000A61A5">
            <w:pPr>
              <w:spacing w:before="60" w:after="60"/>
              <w:rPr>
                <w:rFonts w:asciiTheme="minorHAnsi" w:hAnsiTheme="minorHAnsi"/>
                <w:b/>
                <w:lang w:val="en-NZ"/>
              </w:rPr>
            </w:pPr>
            <w:r>
              <w:rPr>
                <w:rFonts w:asciiTheme="minorHAnsi" w:hAnsiTheme="minorHAnsi"/>
                <w:b/>
                <w:lang w:val="en-NZ"/>
              </w:rPr>
              <w:t>Practice</w:t>
            </w:r>
          </w:p>
        </w:tc>
        <w:tc>
          <w:tcPr>
            <w:tcW w:w="0" w:type="auto"/>
            <w:gridSpan w:val="2"/>
          </w:tcPr>
          <w:p w14:paraId="130E6D38" w14:textId="1B4A539C" w:rsidR="000D5F90" w:rsidRPr="00A82A2F" w:rsidRDefault="000D5F90" w:rsidP="00A82A2F">
            <w:pPr>
              <w:spacing w:before="60" w:after="60"/>
              <w:jc w:val="center"/>
              <w:rPr>
                <w:rFonts w:asciiTheme="minorHAnsi" w:hAnsiTheme="minorHAnsi"/>
                <w:b/>
                <w:lang w:val="en-NZ"/>
              </w:rPr>
            </w:pPr>
            <w:r>
              <w:rPr>
                <w:rFonts w:asciiTheme="minorHAnsi" w:hAnsiTheme="minorHAnsi"/>
                <w:b/>
                <w:lang w:val="en-NZ"/>
              </w:rPr>
              <w:t>Water quality benefit</w:t>
            </w:r>
          </w:p>
        </w:tc>
        <w:tc>
          <w:tcPr>
            <w:tcW w:w="0" w:type="auto"/>
            <w:gridSpan w:val="2"/>
          </w:tcPr>
          <w:p w14:paraId="02F53B00" w14:textId="1E6A4004" w:rsidR="000D5F90" w:rsidRPr="00A82A2F" w:rsidRDefault="000D5F90" w:rsidP="00A82A2F">
            <w:pPr>
              <w:spacing w:before="60" w:after="60"/>
              <w:jc w:val="center"/>
              <w:rPr>
                <w:rFonts w:asciiTheme="minorHAnsi" w:hAnsiTheme="minorHAnsi"/>
                <w:b/>
                <w:lang w:val="en-NZ"/>
              </w:rPr>
            </w:pPr>
            <w:r>
              <w:rPr>
                <w:rFonts w:asciiTheme="minorHAnsi" w:hAnsiTheme="minorHAnsi"/>
                <w:b/>
                <w:lang w:val="en-NZ"/>
              </w:rPr>
              <w:t>Farm business impact</w:t>
            </w:r>
          </w:p>
        </w:tc>
      </w:tr>
      <w:tr w:rsidR="000D5F90" w:rsidRPr="00A82A2F" w14:paraId="76284064" w14:textId="77777777" w:rsidTr="00A82A2F">
        <w:tc>
          <w:tcPr>
            <w:tcW w:w="0" w:type="auto"/>
          </w:tcPr>
          <w:p w14:paraId="34883E15" w14:textId="77777777" w:rsidR="000D5F90" w:rsidRPr="00A82A2F" w:rsidRDefault="000D5F90" w:rsidP="000A61A5">
            <w:pPr>
              <w:spacing w:before="60" w:after="60"/>
              <w:rPr>
                <w:rFonts w:asciiTheme="minorHAnsi" w:hAnsiTheme="minorHAnsi"/>
                <w:b/>
                <w:lang w:val="en-NZ"/>
              </w:rPr>
            </w:pPr>
          </w:p>
        </w:tc>
        <w:tc>
          <w:tcPr>
            <w:tcW w:w="0" w:type="auto"/>
          </w:tcPr>
          <w:p w14:paraId="69C28431" w14:textId="11523A0C" w:rsidR="000D5F90" w:rsidRPr="00A82A2F" w:rsidRDefault="000D5F90" w:rsidP="00A82A2F">
            <w:pPr>
              <w:spacing w:before="60" w:after="60"/>
              <w:jc w:val="center"/>
              <w:rPr>
                <w:rFonts w:asciiTheme="minorHAnsi" w:hAnsiTheme="minorHAnsi"/>
                <w:b/>
                <w:lang w:val="en-NZ"/>
              </w:rPr>
            </w:pPr>
            <w:r>
              <w:rPr>
                <w:rFonts w:asciiTheme="minorHAnsi" w:hAnsiTheme="minorHAnsi"/>
                <w:b/>
                <w:lang w:val="en-NZ"/>
              </w:rPr>
              <w:t>N</w:t>
            </w:r>
          </w:p>
        </w:tc>
        <w:tc>
          <w:tcPr>
            <w:tcW w:w="0" w:type="auto"/>
          </w:tcPr>
          <w:p w14:paraId="66564076" w14:textId="1A899908" w:rsidR="000D5F90" w:rsidRPr="00A82A2F" w:rsidRDefault="000D5F90" w:rsidP="00A82A2F">
            <w:pPr>
              <w:spacing w:before="60" w:after="60"/>
              <w:jc w:val="center"/>
              <w:rPr>
                <w:rFonts w:asciiTheme="minorHAnsi" w:hAnsiTheme="minorHAnsi"/>
                <w:b/>
                <w:lang w:val="en-NZ"/>
              </w:rPr>
            </w:pPr>
            <w:r>
              <w:rPr>
                <w:rFonts w:asciiTheme="minorHAnsi" w:hAnsiTheme="minorHAnsi"/>
                <w:b/>
                <w:lang w:val="en-NZ"/>
              </w:rPr>
              <w:t>P</w:t>
            </w:r>
          </w:p>
        </w:tc>
        <w:tc>
          <w:tcPr>
            <w:tcW w:w="0" w:type="auto"/>
          </w:tcPr>
          <w:p w14:paraId="15F3E7F4" w14:textId="3F33804E" w:rsidR="000D5F90" w:rsidRPr="00A82A2F" w:rsidRDefault="000D5F90" w:rsidP="00A82A2F">
            <w:pPr>
              <w:spacing w:before="60" w:after="60"/>
              <w:jc w:val="center"/>
              <w:rPr>
                <w:rFonts w:asciiTheme="minorHAnsi" w:hAnsiTheme="minorHAnsi"/>
                <w:b/>
                <w:lang w:val="en-NZ"/>
              </w:rPr>
            </w:pPr>
            <w:r>
              <w:rPr>
                <w:rFonts w:asciiTheme="minorHAnsi" w:hAnsiTheme="minorHAnsi"/>
                <w:b/>
                <w:lang w:val="en-NZ"/>
              </w:rPr>
              <w:t>cost</w:t>
            </w:r>
          </w:p>
        </w:tc>
        <w:tc>
          <w:tcPr>
            <w:tcW w:w="0" w:type="auto"/>
          </w:tcPr>
          <w:p w14:paraId="4916437F" w14:textId="18DBB1D4" w:rsidR="000D5F90" w:rsidRPr="00A82A2F" w:rsidRDefault="000D5F90" w:rsidP="00A82A2F">
            <w:pPr>
              <w:spacing w:before="60" w:after="60"/>
              <w:jc w:val="center"/>
              <w:rPr>
                <w:rFonts w:asciiTheme="minorHAnsi" w:hAnsiTheme="minorHAnsi"/>
                <w:b/>
                <w:lang w:val="en-NZ"/>
              </w:rPr>
            </w:pPr>
            <w:r>
              <w:rPr>
                <w:rFonts w:asciiTheme="minorHAnsi" w:hAnsiTheme="minorHAnsi"/>
                <w:b/>
                <w:lang w:val="en-NZ"/>
              </w:rPr>
              <w:t>benefit</w:t>
            </w:r>
          </w:p>
        </w:tc>
      </w:tr>
      <w:tr w:rsidR="000D5F90" w:rsidRPr="00A82A2F" w14:paraId="3DAA2898" w14:textId="77777777" w:rsidTr="00A82A2F">
        <w:tc>
          <w:tcPr>
            <w:tcW w:w="0" w:type="auto"/>
          </w:tcPr>
          <w:p w14:paraId="013B33B1" w14:textId="3BF44767" w:rsidR="000D5F90" w:rsidRPr="00A82A2F" w:rsidRDefault="0034515E" w:rsidP="000A61A5">
            <w:pPr>
              <w:spacing w:before="60" w:after="60"/>
              <w:rPr>
                <w:rFonts w:asciiTheme="minorHAnsi" w:hAnsiTheme="minorHAnsi"/>
                <w:lang w:val="en-NZ"/>
              </w:rPr>
            </w:pPr>
            <w:r w:rsidRPr="00A82A2F">
              <w:rPr>
                <w:rFonts w:asciiTheme="minorHAnsi" w:hAnsiTheme="minorHAnsi"/>
                <w:lang w:val="en-NZ"/>
              </w:rPr>
              <w:t>Keep Olsen P at agronomic optimum (using soil testing)</w:t>
            </w:r>
          </w:p>
        </w:tc>
        <w:tc>
          <w:tcPr>
            <w:tcW w:w="0" w:type="auto"/>
          </w:tcPr>
          <w:p w14:paraId="573ACE6A" w14:textId="50CC918B"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060D8C6F" w14:textId="23181FE7"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50D127AF" w14:textId="6F8CA939"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02EC489C" w14:textId="77F921F1"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r>
      <w:tr w:rsidR="000D5F90" w:rsidRPr="00A82A2F" w14:paraId="00CA25EE" w14:textId="77777777" w:rsidTr="00A82A2F">
        <w:tc>
          <w:tcPr>
            <w:tcW w:w="0" w:type="auto"/>
          </w:tcPr>
          <w:p w14:paraId="43E4113C" w14:textId="3E3AE9F0" w:rsidR="000D5F90" w:rsidRPr="00A82A2F" w:rsidRDefault="0034515E" w:rsidP="000A61A5">
            <w:pPr>
              <w:spacing w:before="60" w:after="60"/>
              <w:rPr>
                <w:rFonts w:asciiTheme="minorHAnsi" w:hAnsiTheme="minorHAnsi"/>
                <w:lang w:val="en-NZ"/>
              </w:rPr>
            </w:pPr>
            <w:r w:rsidRPr="00A82A2F">
              <w:rPr>
                <w:rFonts w:asciiTheme="minorHAnsi" w:hAnsiTheme="minorHAnsi"/>
                <w:lang w:val="en-NZ"/>
              </w:rPr>
              <w:t>Match stock management to land use capability</w:t>
            </w:r>
          </w:p>
        </w:tc>
        <w:tc>
          <w:tcPr>
            <w:tcW w:w="0" w:type="auto"/>
          </w:tcPr>
          <w:p w14:paraId="1F75F641" w14:textId="29087E9E"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low</w:t>
            </w:r>
          </w:p>
        </w:tc>
        <w:tc>
          <w:tcPr>
            <w:tcW w:w="0" w:type="auto"/>
          </w:tcPr>
          <w:p w14:paraId="0B74CBB9" w14:textId="39798BC8"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1AB81CD9" w14:textId="638BA1F7"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243783DB" w14:textId="43B14080" w:rsidR="000D5F90"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r>
      <w:tr w:rsidR="0034515E" w:rsidRPr="00A82A2F" w14:paraId="2253188A" w14:textId="77777777" w:rsidTr="00A82A2F">
        <w:tc>
          <w:tcPr>
            <w:tcW w:w="0" w:type="auto"/>
          </w:tcPr>
          <w:p w14:paraId="661DC5DE" w14:textId="21AF6850" w:rsidR="0034515E" w:rsidRPr="00A82A2F" w:rsidRDefault="0034515E" w:rsidP="0034515E">
            <w:pPr>
              <w:spacing w:before="60" w:after="60"/>
              <w:rPr>
                <w:rFonts w:asciiTheme="minorHAnsi" w:hAnsiTheme="minorHAnsi"/>
                <w:lang w:val="en-NZ"/>
              </w:rPr>
            </w:pPr>
            <w:r w:rsidRPr="00A82A2F">
              <w:rPr>
                <w:rFonts w:asciiTheme="minorHAnsi" w:hAnsiTheme="minorHAnsi"/>
                <w:lang w:val="en-NZ"/>
              </w:rPr>
              <w:t>Fence and plant out unproductive steeper slopes</w:t>
            </w:r>
          </w:p>
        </w:tc>
        <w:tc>
          <w:tcPr>
            <w:tcW w:w="0" w:type="auto"/>
          </w:tcPr>
          <w:p w14:paraId="1F3CCE83" w14:textId="1F026AD4"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7ACB3600" w14:textId="3FB92E66"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60E3A9F7" w14:textId="3AC90030"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18FC4E43" w14:textId="31788A41"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r>
      <w:tr w:rsidR="0034515E" w:rsidRPr="00A82A2F" w14:paraId="27BA1163" w14:textId="77777777" w:rsidTr="00A82A2F">
        <w:tc>
          <w:tcPr>
            <w:tcW w:w="0" w:type="auto"/>
          </w:tcPr>
          <w:p w14:paraId="68E12273" w14:textId="4A98EA4A" w:rsidR="0034515E" w:rsidRPr="00A82A2F" w:rsidRDefault="0034515E" w:rsidP="0034515E">
            <w:pPr>
              <w:spacing w:before="60" w:after="60"/>
              <w:rPr>
                <w:rFonts w:asciiTheme="minorHAnsi" w:hAnsiTheme="minorHAnsi"/>
                <w:lang w:val="en-NZ"/>
              </w:rPr>
            </w:pPr>
            <w:r w:rsidRPr="00A82A2F">
              <w:rPr>
                <w:rFonts w:asciiTheme="minorHAnsi" w:hAnsiTheme="minorHAnsi"/>
                <w:lang w:val="en-NZ"/>
              </w:rPr>
              <w:t>Manage or retire bogs and swampy areas</w:t>
            </w:r>
          </w:p>
        </w:tc>
        <w:tc>
          <w:tcPr>
            <w:tcW w:w="0" w:type="auto"/>
          </w:tcPr>
          <w:p w14:paraId="1FF37816" w14:textId="0FC22F21"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med</w:t>
            </w:r>
          </w:p>
        </w:tc>
        <w:tc>
          <w:tcPr>
            <w:tcW w:w="0" w:type="auto"/>
          </w:tcPr>
          <w:p w14:paraId="5A52A375" w14:textId="0E9942BA"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2F559393" w14:textId="28A198F6"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010B409A" w14:textId="5A75E278"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r>
      <w:tr w:rsidR="0034515E" w:rsidRPr="00A82A2F" w14:paraId="407DAE6C" w14:textId="77777777" w:rsidTr="00A82A2F">
        <w:tc>
          <w:tcPr>
            <w:tcW w:w="0" w:type="auto"/>
          </w:tcPr>
          <w:p w14:paraId="2839DAB5" w14:textId="5616C684" w:rsidR="0034515E" w:rsidRPr="00A82A2F" w:rsidRDefault="0034515E" w:rsidP="0034515E">
            <w:pPr>
              <w:spacing w:before="60" w:after="60"/>
              <w:rPr>
                <w:rFonts w:asciiTheme="minorHAnsi" w:hAnsiTheme="minorHAnsi"/>
                <w:lang w:val="en-NZ"/>
              </w:rPr>
            </w:pPr>
            <w:r w:rsidRPr="00A82A2F">
              <w:rPr>
                <w:rFonts w:asciiTheme="minorHAnsi" w:hAnsiTheme="minorHAnsi"/>
                <w:lang w:val="en-NZ"/>
              </w:rPr>
              <w:t>Reduce soil cultivation by strip tillage or direct drilling</w:t>
            </w:r>
          </w:p>
        </w:tc>
        <w:tc>
          <w:tcPr>
            <w:tcW w:w="0" w:type="auto"/>
          </w:tcPr>
          <w:p w14:paraId="4E882BA1" w14:textId="2830C356"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low</w:t>
            </w:r>
          </w:p>
        </w:tc>
        <w:tc>
          <w:tcPr>
            <w:tcW w:w="0" w:type="auto"/>
          </w:tcPr>
          <w:p w14:paraId="58FEA7D3" w14:textId="71C27522"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3C793433" w14:textId="49DF0423"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10D46D9C" w14:textId="4C007D98" w:rsidR="0034515E" w:rsidRPr="00A82A2F" w:rsidRDefault="0034515E" w:rsidP="00A82A2F">
            <w:pPr>
              <w:spacing w:before="60" w:after="60"/>
              <w:jc w:val="center"/>
              <w:rPr>
                <w:rFonts w:asciiTheme="minorHAnsi" w:hAnsiTheme="minorHAnsi"/>
                <w:lang w:val="en-NZ"/>
              </w:rPr>
            </w:pPr>
            <w:r>
              <w:rPr>
                <w:rFonts w:asciiTheme="minorHAnsi" w:hAnsiTheme="minorHAnsi"/>
                <w:lang w:val="en-NZ"/>
              </w:rPr>
              <w:t>$$</w:t>
            </w:r>
          </w:p>
        </w:tc>
      </w:tr>
      <w:tr w:rsidR="00A82A2F" w:rsidRPr="00A82A2F" w14:paraId="31BD675E" w14:textId="77777777" w:rsidTr="0034515E">
        <w:tc>
          <w:tcPr>
            <w:tcW w:w="0" w:type="auto"/>
          </w:tcPr>
          <w:p w14:paraId="08601B42" w14:textId="577CF544" w:rsidR="00A82A2F" w:rsidRPr="00A82A2F" w:rsidRDefault="00A82A2F" w:rsidP="00A82A2F">
            <w:pPr>
              <w:spacing w:before="60" w:after="60"/>
              <w:rPr>
                <w:rFonts w:asciiTheme="minorHAnsi" w:hAnsiTheme="minorHAnsi"/>
                <w:lang w:val="en-NZ"/>
              </w:rPr>
            </w:pPr>
            <w:r w:rsidRPr="00A82A2F">
              <w:rPr>
                <w:rFonts w:asciiTheme="minorHAnsi" w:hAnsiTheme="minorHAnsi"/>
                <w:lang w:val="en-NZ"/>
              </w:rPr>
              <w:t>Cultivate along contours on slopes greater than 3°</w:t>
            </w:r>
          </w:p>
        </w:tc>
        <w:tc>
          <w:tcPr>
            <w:tcW w:w="0" w:type="auto"/>
          </w:tcPr>
          <w:p w14:paraId="6A026853" w14:textId="58F53F69" w:rsidR="00A82A2F" w:rsidRDefault="00A82A2F" w:rsidP="00A82A2F">
            <w:pPr>
              <w:spacing w:before="60" w:after="60"/>
              <w:jc w:val="center"/>
              <w:rPr>
                <w:rFonts w:asciiTheme="minorHAnsi" w:hAnsiTheme="minorHAnsi"/>
                <w:lang w:val="en-NZ"/>
              </w:rPr>
            </w:pPr>
            <w:r>
              <w:rPr>
                <w:rFonts w:asciiTheme="minorHAnsi" w:hAnsiTheme="minorHAnsi"/>
                <w:lang w:val="en-NZ"/>
              </w:rPr>
              <w:t>low</w:t>
            </w:r>
          </w:p>
        </w:tc>
        <w:tc>
          <w:tcPr>
            <w:tcW w:w="0" w:type="auto"/>
          </w:tcPr>
          <w:p w14:paraId="79691E93" w14:textId="538E8C2A" w:rsidR="00A82A2F" w:rsidRDefault="00A82A2F"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50C6F938" w14:textId="1EA40C1D"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7C53B115" w14:textId="16717ABF"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r>
      <w:tr w:rsidR="00A82A2F" w:rsidRPr="00A82A2F" w14:paraId="589D5170" w14:textId="77777777" w:rsidTr="0034515E">
        <w:tc>
          <w:tcPr>
            <w:tcW w:w="0" w:type="auto"/>
          </w:tcPr>
          <w:p w14:paraId="0033AC57" w14:textId="0CD40872" w:rsidR="00A82A2F" w:rsidRPr="00A82A2F" w:rsidRDefault="00A82A2F" w:rsidP="00A82A2F">
            <w:pPr>
              <w:spacing w:before="60" w:after="60"/>
              <w:rPr>
                <w:rFonts w:asciiTheme="minorHAnsi" w:hAnsiTheme="minorHAnsi"/>
                <w:lang w:val="en-NZ"/>
              </w:rPr>
            </w:pPr>
            <w:r w:rsidRPr="00A82A2F">
              <w:rPr>
                <w:rFonts w:asciiTheme="minorHAnsi" w:hAnsiTheme="minorHAnsi"/>
                <w:lang w:val="en-NZ"/>
              </w:rPr>
              <w:t>Use winter active crops</w:t>
            </w:r>
          </w:p>
        </w:tc>
        <w:tc>
          <w:tcPr>
            <w:tcW w:w="0" w:type="auto"/>
          </w:tcPr>
          <w:p w14:paraId="59674152" w14:textId="2370C024" w:rsidR="00A82A2F" w:rsidRDefault="00A82A2F"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6941DE13" w14:textId="74E70A96"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1EF16DB9" w14:textId="19F8084E"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2F0B1E7C" w14:textId="5E8E17AC"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r>
      <w:tr w:rsidR="00A82A2F" w:rsidRPr="00A82A2F" w14:paraId="2DABE73C" w14:textId="77777777" w:rsidTr="0034515E">
        <w:tc>
          <w:tcPr>
            <w:tcW w:w="0" w:type="auto"/>
          </w:tcPr>
          <w:p w14:paraId="66D44301" w14:textId="69102B47" w:rsidR="00A82A2F" w:rsidRPr="00A82A2F" w:rsidRDefault="00A82A2F" w:rsidP="00A82A2F">
            <w:pPr>
              <w:spacing w:before="60" w:after="60"/>
              <w:rPr>
                <w:rFonts w:asciiTheme="minorHAnsi" w:hAnsiTheme="minorHAnsi"/>
                <w:lang w:val="en-NZ"/>
              </w:rPr>
            </w:pPr>
            <w:r w:rsidRPr="00A82A2F">
              <w:rPr>
                <w:rFonts w:asciiTheme="minorHAnsi" w:hAnsiTheme="minorHAnsi"/>
                <w:lang w:val="en-NZ"/>
              </w:rPr>
              <w:t>Maintain buffer strips on sloping cropping paddocks</w:t>
            </w:r>
          </w:p>
        </w:tc>
        <w:tc>
          <w:tcPr>
            <w:tcW w:w="0" w:type="auto"/>
          </w:tcPr>
          <w:p w14:paraId="781B691B" w14:textId="47854199"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4E9C38A7" w14:textId="5E3276C7" w:rsidR="00A82A2F" w:rsidRDefault="00A82A2F"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5A3644A5" w14:textId="08AA5364"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6EF44FF2" w14:textId="094DDC47"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r>
      <w:tr w:rsidR="00A82A2F" w:rsidRPr="00A82A2F" w14:paraId="495E61EF" w14:textId="77777777" w:rsidTr="0034515E">
        <w:tc>
          <w:tcPr>
            <w:tcW w:w="0" w:type="auto"/>
          </w:tcPr>
          <w:p w14:paraId="32AB3E6D" w14:textId="5119959B" w:rsidR="00A82A2F" w:rsidRPr="00A82A2F" w:rsidRDefault="00A82A2F" w:rsidP="00A82A2F">
            <w:pPr>
              <w:spacing w:before="60" w:after="60"/>
              <w:rPr>
                <w:rFonts w:asciiTheme="minorHAnsi" w:hAnsiTheme="minorHAnsi"/>
                <w:lang w:val="en-NZ"/>
              </w:rPr>
            </w:pPr>
            <w:r w:rsidRPr="00A82A2F">
              <w:rPr>
                <w:rFonts w:asciiTheme="minorHAnsi" w:hAnsiTheme="minorHAnsi"/>
                <w:lang w:val="en-NZ"/>
              </w:rPr>
              <w:t xml:space="preserve">Use </w:t>
            </w:r>
            <w:r>
              <w:rPr>
                <w:rFonts w:asciiTheme="minorHAnsi" w:hAnsiTheme="minorHAnsi"/>
                <w:lang w:val="en-NZ"/>
              </w:rPr>
              <w:t>[</w:t>
            </w:r>
            <w:r w:rsidRPr="00A82A2F">
              <w:rPr>
                <w:rFonts w:asciiTheme="minorHAnsi" w:hAnsiTheme="minorHAnsi"/>
                <w:lang w:val="en-NZ"/>
              </w:rPr>
              <w:t>nutrient</w:t>
            </w:r>
            <w:r>
              <w:rPr>
                <w:rFonts w:asciiTheme="minorHAnsi" w:hAnsiTheme="minorHAnsi"/>
                <w:lang w:val="en-NZ"/>
              </w:rPr>
              <w:t>]</w:t>
            </w:r>
            <w:r w:rsidRPr="00A82A2F">
              <w:rPr>
                <w:rFonts w:asciiTheme="minorHAnsi" w:hAnsiTheme="minorHAnsi"/>
                <w:lang w:val="en-NZ"/>
              </w:rPr>
              <w:t xml:space="preserve"> placement tools e.g. GPS guidance</w:t>
            </w:r>
          </w:p>
        </w:tc>
        <w:tc>
          <w:tcPr>
            <w:tcW w:w="0" w:type="auto"/>
          </w:tcPr>
          <w:p w14:paraId="6E86A254" w14:textId="41B0FE43" w:rsidR="00A82A2F" w:rsidRDefault="00A82A2F"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3E0E5C56" w14:textId="54325D53" w:rsidR="00A82A2F" w:rsidRDefault="00A82A2F" w:rsidP="00A82A2F">
            <w:pPr>
              <w:spacing w:before="60" w:after="60"/>
              <w:jc w:val="center"/>
              <w:rPr>
                <w:rFonts w:asciiTheme="minorHAnsi" w:hAnsiTheme="minorHAnsi"/>
                <w:lang w:val="en-NZ"/>
              </w:rPr>
            </w:pPr>
            <w:r>
              <w:rPr>
                <w:rFonts w:asciiTheme="minorHAnsi" w:hAnsiTheme="minorHAnsi"/>
                <w:lang w:val="en-NZ"/>
              </w:rPr>
              <w:t>high</w:t>
            </w:r>
          </w:p>
        </w:tc>
        <w:tc>
          <w:tcPr>
            <w:tcW w:w="0" w:type="auto"/>
          </w:tcPr>
          <w:p w14:paraId="47F937C4" w14:textId="3E172DC7"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c>
          <w:tcPr>
            <w:tcW w:w="0" w:type="auto"/>
          </w:tcPr>
          <w:p w14:paraId="3EDD42F4" w14:textId="1A43F22E" w:rsidR="00A82A2F" w:rsidRDefault="00A82A2F" w:rsidP="00A82A2F">
            <w:pPr>
              <w:spacing w:before="60" w:after="60"/>
              <w:jc w:val="center"/>
              <w:rPr>
                <w:rFonts w:asciiTheme="minorHAnsi" w:hAnsiTheme="minorHAnsi"/>
                <w:lang w:val="en-NZ"/>
              </w:rPr>
            </w:pPr>
            <w:r>
              <w:rPr>
                <w:rFonts w:asciiTheme="minorHAnsi" w:hAnsiTheme="minorHAnsi"/>
                <w:lang w:val="en-NZ"/>
              </w:rPr>
              <w:t>$$$</w:t>
            </w:r>
          </w:p>
        </w:tc>
      </w:tr>
    </w:tbl>
    <w:p w14:paraId="0930746C" w14:textId="77777777" w:rsidR="000D5F90" w:rsidRPr="000D1385" w:rsidRDefault="000D5F90" w:rsidP="000A61A5">
      <w:pPr>
        <w:spacing w:before="60" w:after="60"/>
        <w:rPr>
          <w:rFonts w:asciiTheme="minorHAnsi" w:hAnsiTheme="minorHAnsi"/>
          <w:b/>
          <w:sz w:val="28"/>
          <w:szCs w:val="28"/>
          <w:lang w:val="en-NZ"/>
        </w:rPr>
      </w:pPr>
    </w:p>
    <w:sectPr w:rsidR="000D5F90" w:rsidRPr="000D1385" w:rsidSect="00CB1C5A">
      <w:headerReference w:type="default" r:id="rId36"/>
      <w:footerReference w:type="default" r:id="rId37"/>
      <w:pgSz w:w="11907" w:h="16840"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1F8F" w14:textId="77777777" w:rsidR="00D0469F" w:rsidRDefault="00D0469F" w:rsidP="00C31E36">
      <w:pPr>
        <w:spacing w:after="0" w:line="240" w:lineRule="auto"/>
      </w:pPr>
      <w:r>
        <w:separator/>
      </w:r>
    </w:p>
  </w:endnote>
  <w:endnote w:type="continuationSeparator" w:id="0">
    <w:p w14:paraId="1A4EC503" w14:textId="77777777" w:rsidR="00D0469F" w:rsidRDefault="00D0469F" w:rsidP="00C31E36">
      <w:pPr>
        <w:spacing w:after="0" w:line="240" w:lineRule="auto"/>
      </w:pPr>
      <w:r>
        <w:continuationSeparator/>
      </w:r>
    </w:p>
  </w:endnote>
  <w:endnote w:type="continuationNotice" w:id="1">
    <w:p w14:paraId="2EC850FA" w14:textId="77777777" w:rsidR="00D0469F" w:rsidRDefault="00D0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6C24" w14:textId="77777777" w:rsidR="004F48D0" w:rsidRDefault="004F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DDAF" w14:textId="77777777" w:rsidR="00D0469F" w:rsidRDefault="00D0469F" w:rsidP="00C31E36">
      <w:pPr>
        <w:spacing w:after="0" w:line="240" w:lineRule="auto"/>
      </w:pPr>
      <w:r>
        <w:separator/>
      </w:r>
    </w:p>
  </w:footnote>
  <w:footnote w:type="continuationSeparator" w:id="0">
    <w:p w14:paraId="0EADCA07" w14:textId="77777777" w:rsidR="00D0469F" w:rsidRDefault="00D0469F" w:rsidP="00C31E36">
      <w:pPr>
        <w:spacing w:after="0" w:line="240" w:lineRule="auto"/>
      </w:pPr>
      <w:r>
        <w:continuationSeparator/>
      </w:r>
    </w:p>
  </w:footnote>
  <w:footnote w:type="continuationNotice" w:id="1">
    <w:p w14:paraId="0601F5E5" w14:textId="77777777" w:rsidR="00D0469F" w:rsidRDefault="00D0469F">
      <w:pPr>
        <w:spacing w:after="0" w:line="240" w:lineRule="auto"/>
      </w:pPr>
    </w:p>
  </w:footnote>
  <w:footnote w:id="2">
    <w:p w14:paraId="4DB2AD39" w14:textId="77777777" w:rsidR="004F48D0" w:rsidRPr="002D1899" w:rsidRDefault="004F48D0" w:rsidP="00147F96">
      <w:pPr>
        <w:pStyle w:val="FootnoteText"/>
        <w:spacing w:after="120"/>
        <w:rPr>
          <w:lang w:val="en-NZ"/>
        </w:rPr>
      </w:pPr>
      <w:r>
        <w:rPr>
          <w:rStyle w:val="FootnoteReference"/>
        </w:rPr>
        <w:footnoteRef/>
      </w:r>
      <w:r>
        <w:t xml:space="preserve"> </w:t>
      </w:r>
      <w:r>
        <w:rPr>
          <w:lang w:val="en-NZ"/>
        </w:rPr>
        <w:t>Commonality between pastoral sector guides partly reflects science relevant to these sectors and some common authorship, notably by AgResearch (NZ’s pastoral science CRI).</w:t>
      </w:r>
    </w:p>
  </w:footnote>
  <w:footnote w:id="3">
    <w:p w14:paraId="5AAC43EA" w14:textId="77777777" w:rsidR="004F48D0" w:rsidRPr="000526C2" w:rsidRDefault="004F48D0" w:rsidP="002D1899">
      <w:pPr>
        <w:pStyle w:val="FootnoteText"/>
        <w:spacing w:after="120"/>
        <w:rPr>
          <w:lang w:val="en-NZ"/>
        </w:rPr>
      </w:pPr>
      <w:r>
        <w:rPr>
          <w:rStyle w:val="FootnoteReference"/>
        </w:rPr>
        <w:footnoteRef/>
      </w:r>
      <w:r>
        <w:t xml:space="preserve"> Even a </w:t>
      </w:r>
      <w:r w:rsidRPr="00C75D5D">
        <w:rPr>
          <w:u w:val="single"/>
        </w:rPr>
        <w:t>summary</w:t>
      </w:r>
      <w:r>
        <w:t xml:space="preserve"> of industry P practices would be lengthy and duplicate content from</w:t>
      </w:r>
      <w:r>
        <w:rPr>
          <w:lang w:val="en-NZ"/>
        </w:rPr>
        <w:t xml:space="preserve"> the documents referenced in the table – hence the table is titled ‘</w:t>
      </w:r>
      <w:r w:rsidRPr="00C75D5D">
        <w:rPr>
          <w:u w:val="single"/>
          <w:lang w:val="en-NZ"/>
        </w:rPr>
        <w:t>Sample</w:t>
      </w:r>
      <w:r>
        <w:rPr>
          <w:lang w:val="en-NZ"/>
        </w:rPr>
        <w:t xml:space="preserve"> of industry good phosphorus practices’. </w:t>
      </w:r>
    </w:p>
  </w:footnote>
  <w:footnote w:id="4">
    <w:p w14:paraId="1DB64A8A" w14:textId="77777777" w:rsidR="004F48D0" w:rsidRPr="00C649B4" w:rsidRDefault="004F48D0" w:rsidP="00A52A85">
      <w:pPr>
        <w:pStyle w:val="FootnoteText"/>
        <w:spacing w:after="0"/>
        <w:rPr>
          <w:lang w:val="en-NZ"/>
        </w:rPr>
      </w:pPr>
      <w:r>
        <w:rPr>
          <w:rStyle w:val="FootnoteReference"/>
        </w:rPr>
        <w:footnoteRef/>
      </w:r>
      <w:r>
        <w:t xml:space="preserve"> </w:t>
      </w:r>
      <w:r>
        <w:rPr>
          <w:lang w:val="en-NZ"/>
        </w:rPr>
        <w:t xml:space="preserve">There is ongoing debate and work on optimum Olsen P levels, the test itself and analysing data. For example, see </w:t>
      </w:r>
      <w:hyperlink r:id="rId1" w:history="1">
        <w:r w:rsidRPr="00C649B4">
          <w:rPr>
            <w:rStyle w:val="Hyperlink"/>
            <w:lang w:val="en-NZ"/>
          </w:rPr>
          <w:t>Edmeades, 2012</w:t>
        </w:r>
      </w:hyperlink>
      <w:r>
        <w:rPr>
          <w:lang w:val="en-NZ"/>
        </w:rPr>
        <w:t>)</w:t>
      </w:r>
    </w:p>
  </w:footnote>
  <w:footnote w:id="5">
    <w:p w14:paraId="75566480" w14:textId="77777777" w:rsidR="004F48D0" w:rsidRPr="00571C5C" w:rsidRDefault="004F48D0" w:rsidP="009B2F79">
      <w:pPr>
        <w:pStyle w:val="FootnoteText"/>
        <w:spacing w:after="0"/>
        <w:rPr>
          <w:lang w:val="en-NZ"/>
        </w:rPr>
      </w:pPr>
      <w:r>
        <w:rPr>
          <w:rStyle w:val="FootnoteReference"/>
        </w:rPr>
        <w:footnoteRef/>
      </w:r>
      <w:r>
        <w:t xml:space="preserve"> </w:t>
      </w:r>
      <w:r>
        <w:rPr>
          <w:lang w:val="en-NZ"/>
        </w:rPr>
        <w:t>There are numerous versions of similar advice</w:t>
      </w:r>
    </w:p>
  </w:footnote>
  <w:footnote w:id="6">
    <w:p w14:paraId="0E5A7093" w14:textId="370C0FE7" w:rsidR="004F48D0" w:rsidRPr="009B2F79" w:rsidRDefault="004F48D0" w:rsidP="00B77D60">
      <w:pPr>
        <w:pStyle w:val="FootnoteText"/>
        <w:spacing w:after="0"/>
        <w:rPr>
          <w:lang w:val="en-NZ"/>
        </w:rPr>
      </w:pPr>
      <w:r>
        <w:rPr>
          <w:rStyle w:val="FootnoteReference"/>
        </w:rPr>
        <w:footnoteRef/>
      </w:r>
      <w:r>
        <w:t xml:space="preserve"> </w:t>
      </w:r>
      <w:hyperlink r:id="rId2" w:history="1">
        <w:r w:rsidRPr="00A82A2F">
          <w:rPr>
            <w:rStyle w:val="Hyperlink"/>
            <w:lang w:val="en-NZ"/>
          </w:rPr>
          <w:t>Redding M, Ghani A, Kear M, O’Connor M and Catto W, 2006</w:t>
        </w:r>
      </w:hyperlink>
      <w:r>
        <w:rPr>
          <w:lang w:val="en-NZ"/>
        </w:rPr>
        <w:t>:</w:t>
      </w:r>
      <w:r w:rsidRPr="002C46A8">
        <w:rPr>
          <w:lang w:val="en-NZ"/>
        </w:rPr>
        <w:t xml:space="preserve"> Phosphorus leaching from pastures can be an environmental risk and even a significant fertiliser expense. Proc. N. Zeal. Grass. Assoc. 68:293-296.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60614"/>
      <w:docPartObj>
        <w:docPartGallery w:val="Watermarks"/>
        <w:docPartUnique/>
      </w:docPartObj>
    </w:sdtPr>
    <w:sdtContent>
      <w:p w14:paraId="3E9D646F" w14:textId="77777777" w:rsidR="004F48D0" w:rsidRDefault="004F48D0" w:rsidP="00147F96">
        <w:pPr>
          <w:pStyle w:val="Header"/>
          <w:spacing w:after="120"/>
        </w:pPr>
        <w:r>
          <w:rPr>
            <w:noProof/>
            <w:lang w:eastAsia="zh-TW"/>
          </w:rPr>
          <w:pict w14:anchorId="63274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FA3"/>
    <w:multiLevelType w:val="hybridMultilevel"/>
    <w:tmpl w:val="6E94BE1A"/>
    <w:lvl w:ilvl="0" w:tplc="6F78D850">
      <w:start w:val="1"/>
      <w:numFmt w:val="bullet"/>
      <w:lvlText w:val="•"/>
      <w:lvlJc w:val="left"/>
      <w:pPr>
        <w:tabs>
          <w:tab w:val="num" w:pos="720"/>
        </w:tabs>
        <w:ind w:left="720" w:hanging="360"/>
      </w:pPr>
      <w:rPr>
        <w:rFonts w:ascii="Arial" w:hAnsi="Arial" w:hint="default"/>
      </w:rPr>
    </w:lvl>
    <w:lvl w:ilvl="1" w:tplc="FA24BA88">
      <w:numFmt w:val="bullet"/>
      <w:lvlText w:val="•"/>
      <w:lvlJc w:val="left"/>
      <w:pPr>
        <w:tabs>
          <w:tab w:val="num" w:pos="1440"/>
        </w:tabs>
        <w:ind w:left="1440" w:hanging="360"/>
      </w:pPr>
      <w:rPr>
        <w:rFonts w:ascii="Arial" w:hAnsi="Arial" w:hint="default"/>
      </w:rPr>
    </w:lvl>
    <w:lvl w:ilvl="2" w:tplc="6F72E82C" w:tentative="1">
      <w:start w:val="1"/>
      <w:numFmt w:val="bullet"/>
      <w:lvlText w:val="•"/>
      <w:lvlJc w:val="left"/>
      <w:pPr>
        <w:tabs>
          <w:tab w:val="num" w:pos="2160"/>
        </w:tabs>
        <w:ind w:left="2160" w:hanging="360"/>
      </w:pPr>
      <w:rPr>
        <w:rFonts w:ascii="Arial" w:hAnsi="Arial" w:hint="default"/>
      </w:rPr>
    </w:lvl>
    <w:lvl w:ilvl="3" w:tplc="7D546DBC" w:tentative="1">
      <w:start w:val="1"/>
      <w:numFmt w:val="bullet"/>
      <w:lvlText w:val="•"/>
      <w:lvlJc w:val="left"/>
      <w:pPr>
        <w:tabs>
          <w:tab w:val="num" w:pos="2880"/>
        </w:tabs>
        <w:ind w:left="2880" w:hanging="360"/>
      </w:pPr>
      <w:rPr>
        <w:rFonts w:ascii="Arial" w:hAnsi="Arial" w:hint="default"/>
      </w:rPr>
    </w:lvl>
    <w:lvl w:ilvl="4" w:tplc="275421D4" w:tentative="1">
      <w:start w:val="1"/>
      <w:numFmt w:val="bullet"/>
      <w:lvlText w:val="•"/>
      <w:lvlJc w:val="left"/>
      <w:pPr>
        <w:tabs>
          <w:tab w:val="num" w:pos="3600"/>
        </w:tabs>
        <w:ind w:left="3600" w:hanging="360"/>
      </w:pPr>
      <w:rPr>
        <w:rFonts w:ascii="Arial" w:hAnsi="Arial" w:hint="default"/>
      </w:rPr>
    </w:lvl>
    <w:lvl w:ilvl="5" w:tplc="32EE1CC0" w:tentative="1">
      <w:start w:val="1"/>
      <w:numFmt w:val="bullet"/>
      <w:lvlText w:val="•"/>
      <w:lvlJc w:val="left"/>
      <w:pPr>
        <w:tabs>
          <w:tab w:val="num" w:pos="4320"/>
        </w:tabs>
        <w:ind w:left="4320" w:hanging="360"/>
      </w:pPr>
      <w:rPr>
        <w:rFonts w:ascii="Arial" w:hAnsi="Arial" w:hint="default"/>
      </w:rPr>
    </w:lvl>
    <w:lvl w:ilvl="6" w:tplc="77520462" w:tentative="1">
      <w:start w:val="1"/>
      <w:numFmt w:val="bullet"/>
      <w:lvlText w:val="•"/>
      <w:lvlJc w:val="left"/>
      <w:pPr>
        <w:tabs>
          <w:tab w:val="num" w:pos="5040"/>
        </w:tabs>
        <w:ind w:left="5040" w:hanging="360"/>
      </w:pPr>
      <w:rPr>
        <w:rFonts w:ascii="Arial" w:hAnsi="Arial" w:hint="default"/>
      </w:rPr>
    </w:lvl>
    <w:lvl w:ilvl="7" w:tplc="A732CD16" w:tentative="1">
      <w:start w:val="1"/>
      <w:numFmt w:val="bullet"/>
      <w:lvlText w:val="•"/>
      <w:lvlJc w:val="left"/>
      <w:pPr>
        <w:tabs>
          <w:tab w:val="num" w:pos="5760"/>
        </w:tabs>
        <w:ind w:left="5760" w:hanging="360"/>
      </w:pPr>
      <w:rPr>
        <w:rFonts w:ascii="Arial" w:hAnsi="Arial" w:hint="default"/>
      </w:rPr>
    </w:lvl>
    <w:lvl w:ilvl="8" w:tplc="775A54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92249"/>
    <w:multiLevelType w:val="hybridMultilevel"/>
    <w:tmpl w:val="1FFA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539F8"/>
    <w:multiLevelType w:val="hybridMultilevel"/>
    <w:tmpl w:val="2D48A5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BE1346A"/>
    <w:multiLevelType w:val="hybridMultilevel"/>
    <w:tmpl w:val="86B44F5E"/>
    <w:lvl w:ilvl="0" w:tplc="491044F2">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1E5B0B"/>
    <w:multiLevelType w:val="hybridMultilevel"/>
    <w:tmpl w:val="D96A42B0"/>
    <w:lvl w:ilvl="0" w:tplc="82B4C096">
      <w:start w:val="1"/>
      <w:numFmt w:val="decimal"/>
      <w:pStyle w:val="Number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BB49B4"/>
    <w:multiLevelType w:val="multilevel"/>
    <w:tmpl w:val="CDB085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764B44"/>
    <w:multiLevelType w:val="hybridMultilevel"/>
    <w:tmpl w:val="8C00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785A"/>
    <w:multiLevelType w:val="hybridMultilevel"/>
    <w:tmpl w:val="B49C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D7FDF"/>
    <w:multiLevelType w:val="hybridMultilevel"/>
    <w:tmpl w:val="E8E4F09A"/>
    <w:lvl w:ilvl="0" w:tplc="09647FAC">
      <w:start w:val="1"/>
      <w:numFmt w:val="bullet"/>
      <w:lvlText w:val="•"/>
      <w:lvlJc w:val="left"/>
      <w:pPr>
        <w:tabs>
          <w:tab w:val="num" w:pos="720"/>
        </w:tabs>
        <w:ind w:left="720" w:hanging="360"/>
      </w:pPr>
      <w:rPr>
        <w:rFonts w:ascii="Arial" w:hAnsi="Arial" w:hint="default"/>
      </w:rPr>
    </w:lvl>
    <w:lvl w:ilvl="1" w:tplc="88583430" w:tentative="1">
      <w:start w:val="1"/>
      <w:numFmt w:val="bullet"/>
      <w:lvlText w:val="•"/>
      <w:lvlJc w:val="left"/>
      <w:pPr>
        <w:tabs>
          <w:tab w:val="num" w:pos="1440"/>
        </w:tabs>
        <w:ind w:left="1440" w:hanging="360"/>
      </w:pPr>
      <w:rPr>
        <w:rFonts w:ascii="Arial" w:hAnsi="Arial" w:hint="default"/>
      </w:rPr>
    </w:lvl>
    <w:lvl w:ilvl="2" w:tplc="9D94BC12" w:tentative="1">
      <w:start w:val="1"/>
      <w:numFmt w:val="bullet"/>
      <w:lvlText w:val="•"/>
      <w:lvlJc w:val="left"/>
      <w:pPr>
        <w:tabs>
          <w:tab w:val="num" w:pos="2160"/>
        </w:tabs>
        <w:ind w:left="2160" w:hanging="360"/>
      </w:pPr>
      <w:rPr>
        <w:rFonts w:ascii="Arial" w:hAnsi="Arial" w:hint="default"/>
      </w:rPr>
    </w:lvl>
    <w:lvl w:ilvl="3" w:tplc="A9F49206" w:tentative="1">
      <w:start w:val="1"/>
      <w:numFmt w:val="bullet"/>
      <w:lvlText w:val="•"/>
      <w:lvlJc w:val="left"/>
      <w:pPr>
        <w:tabs>
          <w:tab w:val="num" w:pos="2880"/>
        </w:tabs>
        <w:ind w:left="2880" w:hanging="360"/>
      </w:pPr>
      <w:rPr>
        <w:rFonts w:ascii="Arial" w:hAnsi="Arial" w:hint="default"/>
      </w:rPr>
    </w:lvl>
    <w:lvl w:ilvl="4" w:tplc="6AA812B4" w:tentative="1">
      <w:start w:val="1"/>
      <w:numFmt w:val="bullet"/>
      <w:lvlText w:val="•"/>
      <w:lvlJc w:val="left"/>
      <w:pPr>
        <w:tabs>
          <w:tab w:val="num" w:pos="3600"/>
        </w:tabs>
        <w:ind w:left="3600" w:hanging="360"/>
      </w:pPr>
      <w:rPr>
        <w:rFonts w:ascii="Arial" w:hAnsi="Arial" w:hint="default"/>
      </w:rPr>
    </w:lvl>
    <w:lvl w:ilvl="5" w:tplc="E3D02004" w:tentative="1">
      <w:start w:val="1"/>
      <w:numFmt w:val="bullet"/>
      <w:lvlText w:val="•"/>
      <w:lvlJc w:val="left"/>
      <w:pPr>
        <w:tabs>
          <w:tab w:val="num" w:pos="4320"/>
        </w:tabs>
        <w:ind w:left="4320" w:hanging="360"/>
      </w:pPr>
      <w:rPr>
        <w:rFonts w:ascii="Arial" w:hAnsi="Arial" w:hint="default"/>
      </w:rPr>
    </w:lvl>
    <w:lvl w:ilvl="6" w:tplc="B5D41D52" w:tentative="1">
      <w:start w:val="1"/>
      <w:numFmt w:val="bullet"/>
      <w:lvlText w:val="•"/>
      <w:lvlJc w:val="left"/>
      <w:pPr>
        <w:tabs>
          <w:tab w:val="num" w:pos="5040"/>
        </w:tabs>
        <w:ind w:left="5040" w:hanging="360"/>
      </w:pPr>
      <w:rPr>
        <w:rFonts w:ascii="Arial" w:hAnsi="Arial" w:hint="default"/>
      </w:rPr>
    </w:lvl>
    <w:lvl w:ilvl="7" w:tplc="239C9E8E" w:tentative="1">
      <w:start w:val="1"/>
      <w:numFmt w:val="bullet"/>
      <w:lvlText w:val="•"/>
      <w:lvlJc w:val="left"/>
      <w:pPr>
        <w:tabs>
          <w:tab w:val="num" w:pos="5760"/>
        </w:tabs>
        <w:ind w:left="5760" w:hanging="360"/>
      </w:pPr>
      <w:rPr>
        <w:rFonts w:ascii="Arial" w:hAnsi="Arial" w:hint="default"/>
      </w:rPr>
    </w:lvl>
    <w:lvl w:ilvl="8" w:tplc="28164F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9668BA"/>
    <w:multiLevelType w:val="hybridMultilevel"/>
    <w:tmpl w:val="38826034"/>
    <w:lvl w:ilvl="0" w:tplc="B0EE3498">
      <w:numFmt w:val="bullet"/>
      <w:lvlText w:val="-"/>
      <w:lvlJc w:val="left"/>
      <w:pPr>
        <w:ind w:left="420" w:hanging="360"/>
      </w:pPr>
      <w:rPr>
        <w:rFonts w:ascii="Calibri" w:eastAsia="Calibri" w:hAnsi="Calibri" w:cs="Arial" w:hint="default"/>
        <w:b/>
        <w:sz w:val="28"/>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0" w15:restartNumberingAfterBreak="0">
    <w:nsid w:val="3E102339"/>
    <w:multiLevelType w:val="hybridMultilevel"/>
    <w:tmpl w:val="09A4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12E3"/>
    <w:multiLevelType w:val="hybridMultilevel"/>
    <w:tmpl w:val="7E78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66B5E"/>
    <w:multiLevelType w:val="hybridMultilevel"/>
    <w:tmpl w:val="94D0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D0ABA"/>
    <w:multiLevelType w:val="hybridMultilevel"/>
    <w:tmpl w:val="4A3AF3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08672F1"/>
    <w:multiLevelType w:val="hybridMultilevel"/>
    <w:tmpl w:val="E65E3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07E09"/>
    <w:multiLevelType w:val="hybridMultilevel"/>
    <w:tmpl w:val="EE38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327C5"/>
    <w:multiLevelType w:val="hybridMultilevel"/>
    <w:tmpl w:val="C83E7866"/>
    <w:lvl w:ilvl="0" w:tplc="D834EF2C">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15587"/>
    <w:multiLevelType w:val="hybridMultilevel"/>
    <w:tmpl w:val="BDCA9B94"/>
    <w:lvl w:ilvl="0" w:tplc="27484200">
      <w:start w:val="1"/>
      <w:numFmt w:val="decimal"/>
      <w:lvlText w:val="%1."/>
      <w:lvlJc w:val="left"/>
      <w:pPr>
        <w:tabs>
          <w:tab w:val="num" w:pos="720"/>
        </w:tabs>
        <w:ind w:left="720" w:hanging="360"/>
      </w:pPr>
    </w:lvl>
    <w:lvl w:ilvl="1" w:tplc="59EABCB2">
      <w:numFmt w:val="bullet"/>
      <w:lvlText w:val="•"/>
      <w:lvlJc w:val="left"/>
      <w:pPr>
        <w:tabs>
          <w:tab w:val="num" w:pos="1440"/>
        </w:tabs>
        <w:ind w:left="1440" w:hanging="360"/>
      </w:pPr>
      <w:rPr>
        <w:rFonts w:ascii="Arial" w:hAnsi="Arial" w:hint="default"/>
      </w:rPr>
    </w:lvl>
    <w:lvl w:ilvl="2" w:tplc="A9B8A856" w:tentative="1">
      <w:start w:val="1"/>
      <w:numFmt w:val="decimal"/>
      <w:lvlText w:val="%3."/>
      <w:lvlJc w:val="left"/>
      <w:pPr>
        <w:tabs>
          <w:tab w:val="num" w:pos="2160"/>
        </w:tabs>
        <w:ind w:left="2160" w:hanging="360"/>
      </w:pPr>
    </w:lvl>
    <w:lvl w:ilvl="3" w:tplc="793434CE" w:tentative="1">
      <w:start w:val="1"/>
      <w:numFmt w:val="decimal"/>
      <w:lvlText w:val="%4."/>
      <w:lvlJc w:val="left"/>
      <w:pPr>
        <w:tabs>
          <w:tab w:val="num" w:pos="2880"/>
        </w:tabs>
        <w:ind w:left="2880" w:hanging="360"/>
      </w:pPr>
    </w:lvl>
    <w:lvl w:ilvl="4" w:tplc="1820CF80" w:tentative="1">
      <w:start w:val="1"/>
      <w:numFmt w:val="decimal"/>
      <w:lvlText w:val="%5."/>
      <w:lvlJc w:val="left"/>
      <w:pPr>
        <w:tabs>
          <w:tab w:val="num" w:pos="3600"/>
        </w:tabs>
        <w:ind w:left="3600" w:hanging="360"/>
      </w:pPr>
    </w:lvl>
    <w:lvl w:ilvl="5" w:tplc="06D0D3B6" w:tentative="1">
      <w:start w:val="1"/>
      <w:numFmt w:val="decimal"/>
      <w:lvlText w:val="%6."/>
      <w:lvlJc w:val="left"/>
      <w:pPr>
        <w:tabs>
          <w:tab w:val="num" w:pos="4320"/>
        </w:tabs>
        <w:ind w:left="4320" w:hanging="360"/>
      </w:pPr>
    </w:lvl>
    <w:lvl w:ilvl="6" w:tplc="AC70C61A" w:tentative="1">
      <w:start w:val="1"/>
      <w:numFmt w:val="decimal"/>
      <w:lvlText w:val="%7."/>
      <w:lvlJc w:val="left"/>
      <w:pPr>
        <w:tabs>
          <w:tab w:val="num" w:pos="5040"/>
        </w:tabs>
        <w:ind w:left="5040" w:hanging="360"/>
      </w:pPr>
    </w:lvl>
    <w:lvl w:ilvl="7" w:tplc="7F72BA84" w:tentative="1">
      <w:start w:val="1"/>
      <w:numFmt w:val="decimal"/>
      <w:lvlText w:val="%8."/>
      <w:lvlJc w:val="left"/>
      <w:pPr>
        <w:tabs>
          <w:tab w:val="num" w:pos="5760"/>
        </w:tabs>
        <w:ind w:left="5760" w:hanging="360"/>
      </w:pPr>
    </w:lvl>
    <w:lvl w:ilvl="8" w:tplc="0F3CD854" w:tentative="1">
      <w:start w:val="1"/>
      <w:numFmt w:val="decimal"/>
      <w:lvlText w:val="%9."/>
      <w:lvlJc w:val="left"/>
      <w:pPr>
        <w:tabs>
          <w:tab w:val="num" w:pos="6480"/>
        </w:tabs>
        <w:ind w:left="6480" w:hanging="360"/>
      </w:pPr>
    </w:lvl>
  </w:abstractNum>
  <w:abstractNum w:abstractNumId="18" w15:restartNumberingAfterBreak="0">
    <w:nsid w:val="701A64EC"/>
    <w:multiLevelType w:val="hybridMultilevel"/>
    <w:tmpl w:val="01F4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73A7F"/>
    <w:multiLevelType w:val="hybridMultilevel"/>
    <w:tmpl w:val="8EF24A2C"/>
    <w:lvl w:ilvl="0" w:tplc="2F844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454C5"/>
    <w:multiLevelType w:val="hybridMultilevel"/>
    <w:tmpl w:val="B922D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4B505EF"/>
    <w:multiLevelType w:val="hybridMultilevel"/>
    <w:tmpl w:val="BC92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D15E0"/>
    <w:multiLevelType w:val="hybridMultilevel"/>
    <w:tmpl w:val="C208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0"/>
  </w:num>
  <w:num w:numId="5">
    <w:abstractNumId w:val="16"/>
  </w:num>
  <w:num w:numId="6">
    <w:abstractNumId w:val="15"/>
  </w:num>
  <w:num w:numId="7">
    <w:abstractNumId w:val="22"/>
  </w:num>
  <w:num w:numId="8">
    <w:abstractNumId w:val="1"/>
  </w:num>
  <w:num w:numId="9">
    <w:abstractNumId w:val="21"/>
  </w:num>
  <w:num w:numId="10">
    <w:abstractNumId w:val="11"/>
  </w:num>
  <w:num w:numId="11">
    <w:abstractNumId w:val="7"/>
  </w:num>
  <w:num w:numId="12">
    <w:abstractNumId w:val="6"/>
  </w:num>
  <w:num w:numId="13">
    <w:abstractNumId w:val="0"/>
  </w:num>
  <w:num w:numId="14">
    <w:abstractNumId w:val="8"/>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7"/>
  </w:num>
  <w:num w:numId="20">
    <w:abstractNumId w:val="18"/>
  </w:num>
  <w:num w:numId="21">
    <w:abstractNumId w:val="10"/>
  </w:num>
  <w:num w:numId="22">
    <w:abstractNumId w:val="2"/>
  </w:num>
  <w:num w:numId="23">
    <w:abstractNumId w:val="9"/>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EA"/>
    <w:rsid w:val="00011E0E"/>
    <w:rsid w:val="00016B9C"/>
    <w:rsid w:val="000173E4"/>
    <w:rsid w:val="00023EF3"/>
    <w:rsid w:val="0003196E"/>
    <w:rsid w:val="000343B8"/>
    <w:rsid w:val="00034EF2"/>
    <w:rsid w:val="000373E4"/>
    <w:rsid w:val="000412FE"/>
    <w:rsid w:val="00043F37"/>
    <w:rsid w:val="00044D3F"/>
    <w:rsid w:val="0004503D"/>
    <w:rsid w:val="00047A11"/>
    <w:rsid w:val="000526C2"/>
    <w:rsid w:val="00053621"/>
    <w:rsid w:val="00057A16"/>
    <w:rsid w:val="0006141E"/>
    <w:rsid w:val="00062213"/>
    <w:rsid w:val="00076EA7"/>
    <w:rsid w:val="00080176"/>
    <w:rsid w:val="00082A7B"/>
    <w:rsid w:val="0008373B"/>
    <w:rsid w:val="00084BBB"/>
    <w:rsid w:val="00096676"/>
    <w:rsid w:val="000969BF"/>
    <w:rsid w:val="00096C45"/>
    <w:rsid w:val="000973B0"/>
    <w:rsid w:val="000A11DF"/>
    <w:rsid w:val="000A61A5"/>
    <w:rsid w:val="000B6F68"/>
    <w:rsid w:val="000C1EAE"/>
    <w:rsid w:val="000D1385"/>
    <w:rsid w:val="000D34CF"/>
    <w:rsid w:val="000D3B80"/>
    <w:rsid w:val="000D5F90"/>
    <w:rsid w:val="000D6BD6"/>
    <w:rsid w:val="000E6006"/>
    <w:rsid w:val="000F1B0F"/>
    <w:rsid w:val="000F3DFB"/>
    <w:rsid w:val="00102128"/>
    <w:rsid w:val="00112B74"/>
    <w:rsid w:val="00113162"/>
    <w:rsid w:val="00113B30"/>
    <w:rsid w:val="0012080B"/>
    <w:rsid w:val="00125964"/>
    <w:rsid w:val="00126FC9"/>
    <w:rsid w:val="0013026D"/>
    <w:rsid w:val="00142336"/>
    <w:rsid w:val="00144673"/>
    <w:rsid w:val="00147F96"/>
    <w:rsid w:val="001537BC"/>
    <w:rsid w:val="00160D6A"/>
    <w:rsid w:val="00171806"/>
    <w:rsid w:val="001748D5"/>
    <w:rsid w:val="00175B3C"/>
    <w:rsid w:val="00182AC4"/>
    <w:rsid w:val="00185BAE"/>
    <w:rsid w:val="0019323B"/>
    <w:rsid w:val="001A0F9B"/>
    <w:rsid w:val="001A2580"/>
    <w:rsid w:val="001A6DB0"/>
    <w:rsid w:val="001C58CF"/>
    <w:rsid w:val="001D3802"/>
    <w:rsid w:val="001D64C5"/>
    <w:rsid w:val="001D6ECC"/>
    <w:rsid w:val="001E03D5"/>
    <w:rsid w:val="001E3989"/>
    <w:rsid w:val="001E50D9"/>
    <w:rsid w:val="001E6774"/>
    <w:rsid w:val="001E7DE1"/>
    <w:rsid w:val="001F2E18"/>
    <w:rsid w:val="001F34DB"/>
    <w:rsid w:val="00217D67"/>
    <w:rsid w:val="00221316"/>
    <w:rsid w:val="002232CD"/>
    <w:rsid w:val="00230EA5"/>
    <w:rsid w:val="0023351F"/>
    <w:rsid w:val="00233A36"/>
    <w:rsid w:val="002353AA"/>
    <w:rsid w:val="00240C28"/>
    <w:rsid w:val="002519CD"/>
    <w:rsid w:val="00252295"/>
    <w:rsid w:val="00261279"/>
    <w:rsid w:val="00262346"/>
    <w:rsid w:val="0026439D"/>
    <w:rsid w:val="00264B91"/>
    <w:rsid w:val="002666DB"/>
    <w:rsid w:val="0028438E"/>
    <w:rsid w:val="00291110"/>
    <w:rsid w:val="002956D6"/>
    <w:rsid w:val="00295A6D"/>
    <w:rsid w:val="0029778C"/>
    <w:rsid w:val="002A0772"/>
    <w:rsid w:val="002A5E8A"/>
    <w:rsid w:val="002A76AB"/>
    <w:rsid w:val="002B01BC"/>
    <w:rsid w:val="002B2FDE"/>
    <w:rsid w:val="002B5325"/>
    <w:rsid w:val="002C2BC9"/>
    <w:rsid w:val="002D1899"/>
    <w:rsid w:val="002E3A4B"/>
    <w:rsid w:val="002E6893"/>
    <w:rsid w:val="002E770C"/>
    <w:rsid w:val="002F5AFE"/>
    <w:rsid w:val="002F7141"/>
    <w:rsid w:val="00300641"/>
    <w:rsid w:val="00302469"/>
    <w:rsid w:val="00314E78"/>
    <w:rsid w:val="0031627E"/>
    <w:rsid w:val="00330E5B"/>
    <w:rsid w:val="003314E7"/>
    <w:rsid w:val="003321A2"/>
    <w:rsid w:val="00341D7E"/>
    <w:rsid w:val="0034340E"/>
    <w:rsid w:val="0034515E"/>
    <w:rsid w:val="003455AD"/>
    <w:rsid w:val="0034593A"/>
    <w:rsid w:val="00350F74"/>
    <w:rsid w:val="0035664E"/>
    <w:rsid w:val="00356B4A"/>
    <w:rsid w:val="00365013"/>
    <w:rsid w:val="003659B7"/>
    <w:rsid w:val="003678E5"/>
    <w:rsid w:val="00372E8B"/>
    <w:rsid w:val="0037402A"/>
    <w:rsid w:val="003766C8"/>
    <w:rsid w:val="003802C5"/>
    <w:rsid w:val="003828C7"/>
    <w:rsid w:val="0038447D"/>
    <w:rsid w:val="00385CE6"/>
    <w:rsid w:val="0038760B"/>
    <w:rsid w:val="00387A11"/>
    <w:rsid w:val="00397E5F"/>
    <w:rsid w:val="003A4AE4"/>
    <w:rsid w:val="003B2156"/>
    <w:rsid w:val="003C651F"/>
    <w:rsid w:val="003D0C17"/>
    <w:rsid w:val="003E0DC3"/>
    <w:rsid w:val="003E0EEB"/>
    <w:rsid w:val="003E5902"/>
    <w:rsid w:val="003F796A"/>
    <w:rsid w:val="00402B8D"/>
    <w:rsid w:val="004051BF"/>
    <w:rsid w:val="00412EC8"/>
    <w:rsid w:val="00415629"/>
    <w:rsid w:val="004157E2"/>
    <w:rsid w:val="0041685F"/>
    <w:rsid w:val="00423BDB"/>
    <w:rsid w:val="00430F67"/>
    <w:rsid w:val="0043507E"/>
    <w:rsid w:val="004422F5"/>
    <w:rsid w:val="00443A0D"/>
    <w:rsid w:val="00453B36"/>
    <w:rsid w:val="004554E6"/>
    <w:rsid w:val="00455DD0"/>
    <w:rsid w:val="0045686B"/>
    <w:rsid w:val="004624BD"/>
    <w:rsid w:val="00462520"/>
    <w:rsid w:val="004632D1"/>
    <w:rsid w:val="004670EA"/>
    <w:rsid w:val="004673D1"/>
    <w:rsid w:val="0046780F"/>
    <w:rsid w:val="004724E9"/>
    <w:rsid w:val="00475AF1"/>
    <w:rsid w:val="00481318"/>
    <w:rsid w:val="004816F6"/>
    <w:rsid w:val="004827DA"/>
    <w:rsid w:val="0048512F"/>
    <w:rsid w:val="00490080"/>
    <w:rsid w:val="00492B65"/>
    <w:rsid w:val="00496BF4"/>
    <w:rsid w:val="004A0551"/>
    <w:rsid w:val="004B1C46"/>
    <w:rsid w:val="004C034F"/>
    <w:rsid w:val="004C41A0"/>
    <w:rsid w:val="004C5E1B"/>
    <w:rsid w:val="004C6D29"/>
    <w:rsid w:val="004D288D"/>
    <w:rsid w:val="004D505B"/>
    <w:rsid w:val="004D52FD"/>
    <w:rsid w:val="004E2DD8"/>
    <w:rsid w:val="004E42C1"/>
    <w:rsid w:val="004E501B"/>
    <w:rsid w:val="004F48D0"/>
    <w:rsid w:val="00502BBE"/>
    <w:rsid w:val="00506641"/>
    <w:rsid w:val="0051711D"/>
    <w:rsid w:val="00520731"/>
    <w:rsid w:val="00521F05"/>
    <w:rsid w:val="00525249"/>
    <w:rsid w:val="005256B6"/>
    <w:rsid w:val="005301E3"/>
    <w:rsid w:val="005329FB"/>
    <w:rsid w:val="00533A0F"/>
    <w:rsid w:val="0053544B"/>
    <w:rsid w:val="00540851"/>
    <w:rsid w:val="00544376"/>
    <w:rsid w:val="00545E2C"/>
    <w:rsid w:val="00550B31"/>
    <w:rsid w:val="0055213C"/>
    <w:rsid w:val="00553BAA"/>
    <w:rsid w:val="00560FB4"/>
    <w:rsid w:val="00562DB9"/>
    <w:rsid w:val="005647E6"/>
    <w:rsid w:val="00567EC2"/>
    <w:rsid w:val="00570039"/>
    <w:rsid w:val="00570FAE"/>
    <w:rsid w:val="00571C5C"/>
    <w:rsid w:val="0058073A"/>
    <w:rsid w:val="00580E8F"/>
    <w:rsid w:val="005852D6"/>
    <w:rsid w:val="0058544A"/>
    <w:rsid w:val="005956CB"/>
    <w:rsid w:val="005967F8"/>
    <w:rsid w:val="005968F2"/>
    <w:rsid w:val="005B1417"/>
    <w:rsid w:val="005B575A"/>
    <w:rsid w:val="005C3522"/>
    <w:rsid w:val="005C38AB"/>
    <w:rsid w:val="005C55D7"/>
    <w:rsid w:val="005E1C15"/>
    <w:rsid w:val="005E1ED8"/>
    <w:rsid w:val="005E2AA9"/>
    <w:rsid w:val="005E7A89"/>
    <w:rsid w:val="005F2990"/>
    <w:rsid w:val="005F5C8F"/>
    <w:rsid w:val="00604525"/>
    <w:rsid w:val="0060655A"/>
    <w:rsid w:val="00606E25"/>
    <w:rsid w:val="00612B58"/>
    <w:rsid w:val="00615A4E"/>
    <w:rsid w:val="00620A9B"/>
    <w:rsid w:val="006250CE"/>
    <w:rsid w:val="006257AF"/>
    <w:rsid w:val="00640E41"/>
    <w:rsid w:val="006461FE"/>
    <w:rsid w:val="00647F13"/>
    <w:rsid w:val="00650C2F"/>
    <w:rsid w:val="006516A3"/>
    <w:rsid w:val="006516B8"/>
    <w:rsid w:val="00660890"/>
    <w:rsid w:val="00664793"/>
    <w:rsid w:val="00664D97"/>
    <w:rsid w:val="006665DD"/>
    <w:rsid w:val="00667F65"/>
    <w:rsid w:val="00670710"/>
    <w:rsid w:val="006709EE"/>
    <w:rsid w:val="00672A74"/>
    <w:rsid w:val="006756D6"/>
    <w:rsid w:val="006809AC"/>
    <w:rsid w:val="00680BFC"/>
    <w:rsid w:val="006906A7"/>
    <w:rsid w:val="006A14F0"/>
    <w:rsid w:val="006A36DD"/>
    <w:rsid w:val="006B617F"/>
    <w:rsid w:val="006B7031"/>
    <w:rsid w:val="006D2C02"/>
    <w:rsid w:val="006D5B61"/>
    <w:rsid w:val="006D691C"/>
    <w:rsid w:val="006E2486"/>
    <w:rsid w:val="006F4CD9"/>
    <w:rsid w:val="006F51BE"/>
    <w:rsid w:val="006F7780"/>
    <w:rsid w:val="00700F98"/>
    <w:rsid w:val="00701ED8"/>
    <w:rsid w:val="00703E82"/>
    <w:rsid w:val="00706411"/>
    <w:rsid w:val="00716891"/>
    <w:rsid w:val="00716AD8"/>
    <w:rsid w:val="00717D8A"/>
    <w:rsid w:val="007216FD"/>
    <w:rsid w:val="00727BC1"/>
    <w:rsid w:val="007310EF"/>
    <w:rsid w:val="00737546"/>
    <w:rsid w:val="00741F38"/>
    <w:rsid w:val="007529C2"/>
    <w:rsid w:val="00761942"/>
    <w:rsid w:val="0076323A"/>
    <w:rsid w:val="0076360A"/>
    <w:rsid w:val="0077114C"/>
    <w:rsid w:val="007757AA"/>
    <w:rsid w:val="00777AA2"/>
    <w:rsid w:val="00781680"/>
    <w:rsid w:val="007959B6"/>
    <w:rsid w:val="00796614"/>
    <w:rsid w:val="00796C38"/>
    <w:rsid w:val="007A1A02"/>
    <w:rsid w:val="007A4FEB"/>
    <w:rsid w:val="007B35B0"/>
    <w:rsid w:val="007C1AEA"/>
    <w:rsid w:val="007C7D04"/>
    <w:rsid w:val="007C7E90"/>
    <w:rsid w:val="007D0543"/>
    <w:rsid w:val="007D61FE"/>
    <w:rsid w:val="007E38C4"/>
    <w:rsid w:val="007E5F94"/>
    <w:rsid w:val="007E6D22"/>
    <w:rsid w:val="007F2CE9"/>
    <w:rsid w:val="008040F3"/>
    <w:rsid w:val="008050EF"/>
    <w:rsid w:val="00806303"/>
    <w:rsid w:val="0080718E"/>
    <w:rsid w:val="0081298B"/>
    <w:rsid w:val="00816B83"/>
    <w:rsid w:val="008219DC"/>
    <w:rsid w:val="00821DE3"/>
    <w:rsid w:val="008279F7"/>
    <w:rsid w:val="00831D4D"/>
    <w:rsid w:val="00833260"/>
    <w:rsid w:val="00835B3F"/>
    <w:rsid w:val="00841D4E"/>
    <w:rsid w:val="00842069"/>
    <w:rsid w:val="0085654F"/>
    <w:rsid w:val="0085655D"/>
    <w:rsid w:val="00861C71"/>
    <w:rsid w:val="008702E5"/>
    <w:rsid w:val="0087095A"/>
    <w:rsid w:val="00871F67"/>
    <w:rsid w:val="00872ECF"/>
    <w:rsid w:val="00875240"/>
    <w:rsid w:val="0088034B"/>
    <w:rsid w:val="00886BAA"/>
    <w:rsid w:val="00894B59"/>
    <w:rsid w:val="008A511D"/>
    <w:rsid w:val="008B028E"/>
    <w:rsid w:val="008B3396"/>
    <w:rsid w:val="008B5BC9"/>
    <w:rsid w:val="008B678F"/>
    <w:rsid w:val="008C2B78"/>
    <w:rsid w:val="008C5038"/>
    <w:rsid w:val="008C7FE6"/>
    <w:rsid w:val="008D13E5"/>
    <w:rsid w:val="008D1EE7"/>
    <w:rsid w:val="008D2111"/>
    <w:rsid w:val="008F096E"/>
    <w:rsid w:val="008F58CD"/>
    <w:rsid w:val="008F68BF"/>
    <w:rsid w:val="0090522F"/>
    <w:rsid w:val="009052CB"/>
    <w:rsid w:val="00906D45"/>
    <w:rsid w:val="009101C9"/>
    <w:rsid w:val="00910BEF"/>
    <w:rsid w:val="00915D10"/>
    <w:rsid w:val="0092176E"/>
    <w:rsid w:val="00926CE6"/>
    <w:rsid w:val="009319D4"/>
    <w:rsid w:val="00933BE5"/>
    <w:rsid w:val="0093412E"/>
    <w:rsid w:val="009357FC"/>
    <w:rsid w:val="00942313"/>
    <w:rsid w:val="00950F91"/>
    <w:rsid w:val="009557B4"/>
    <w:rsid w:val="00965697"/>
    <w:rsid w:val="00971A48"/>
    <w:rsid w:val="009736B0"/>
    <w:rsid w:val="009756E0"/>
    <w:rsid w:val="00977E4B"/>
    <w:rsid w:val="0098268E"/>
    <w:rsid w:val="00982DF0"/>
    <w:rsid w:val="00984248"/>
    <w:rsid w:val="00986803"/>
    <w:rsid w:val="009870B9"/>
    <w:rsid w:val="009920DB"/>
    <w:rsid w:val="009930C5"/>
    <w:rsid w:val="0099461F"/>
    <w:rsid w:val="009958E1"/>
    <w:rsid w:val="00996B4C"/>
    <w:rsid w:val="0099784A"/>
    <w:rsid w:val="009A0014"/>
    <w:rsid w:val="009A0073"/>
    <w:rsid w:val="009A3A00"/>
    <w:rsid w:val="009A406A"/>
    <w:rsid w:val="009A528A"/>
    <w:rsid w:val="009A6DD8"/>
    <w:rsid w:val="009B023A"/>
    <w:rsid w:val="009B2F79"/>
    <w:rsid w:val="009B2F7F"/>
    <w:rsid w:val="009B79F0"/>
    <w:rsid w:val="009D1933"/>
    <w:rsid w:val="009D48D6"/>
    <w:rsid w:val="009E2051"/>
    <w:rsid w:val="009E2B61"/>
    <w:rsid w:val="009E3180"/>
    <w:rsid w:val="009E4ED6"/>
    <w:rsid w:val="009E5072"/>
    <w:rsid w:val="009E6861"/>
    <w:rsid w:val="009E7581"/>
    <w:rsid w:val="009E7D01"/>
    <w:rsid w:val="00A14B99"/>
    <w:rsid w:val="00A22B9A"/>
    <w:rsid w:val="00A23A60"/>
    <w:rsid w:val="00A24970"/>
    <w:rsid w:val="00A30FB5"/>
    <w:rsid w:val="00A3172F"/>
    <w:rsid w:val="00A32BA8"/>
    <w:rsid w:val="00A33716"/>
    <w:rsid w:val="00A33A25"/>
    <w:rsid w:val="00A364FF"/>
    <w:rsid w:val="00A366C6"/>
    <w:rsid w:val="00A424C8"/>
    <w:rsid w:val="00A52A85"/>
    <w:rsid w:val="00A606AE"/>
    <w:rsid w:val="00A607C4"/>
    <w:rsid w:val="00A60B19"/>
    <w:rsid w:val="00A66A99"/>
    <w:rsid w:val="00A67D15"/>
    <w:rsid w:val="00A71996"/>
    <w:rsid w:val="00A7287D"/>
    <w:rsid w:val="00A72A4F"/>
    <w:rsid w:val="00A75A10"/>
    <w:rsid w:val="00A768CA"/>
    <w:rsid w:val="00A76DBE"/>
    <w:rsid w:val="00A7726C"/>
    <w:rsid w:val="00A80460"/>
    <w:rsid w:val="00A82A2F"/>
    <w:rsid w:val="00A86507"/>
    <w:rsid w:val="00A94C2D"/>
    <w:rsid w:val="00AA5738"/>
    <w:rsid w:val="00AA63F6"/>
    <w:rsid w:val="00AB1E61"/>
    <w:rsid w:val="00AB2FF4"/>
    <w:rsid w:val="00AB4749"/>
    <w:rsid w:val="00AB5114"/>
    <w:rsid w:val="00AB5374"/>
    <w:rsid w:val="00AB58C8"/>
    <w:rsid w:val="00AC4F53"/>
    <w:rsid w:val="00AE3148"/>
    <w:rsid w:val="00AE6838"/>
    <w:rsid w:val="00AF224A"/>
    <w:rsid w:val="00AF4B16"/>
    <w:rsid w:val="00B02784"/>
    <w:rsid w:val="00B17758"/>
    <w:rsid w:val="00B21C51"/>
    <w:rsid w:val="00B21D53"/>
    <w:rsid w:val="00B223E7"/>
    <w:rsid w:val="00B30439"/>
    <w:rsid w:val="00B34D61"/>
    <w:rsid w:val="00B439DC"/>
    <w:rsid w:val="00B5262D"/>
    <w:rsid w:val="00B57DFE"/>
    <w:rsid w:val="00B6233D"/>
    <w:rsid w:val="00B635CF"/>
    <w:rsid w:val="00B72441"/>
    <w:rsid w:val="00B75AC4"/>
    <w:rsid w:val="00B76373"/>
    <w:rsid w:val="00B77D60"/>
    <w:rsid w:val="00B8263A"/>
    <w:rsid w:val="00B861AE"/>
    <w:rsid w:val="00BA5751"/>
    <w:rsid w:val="00BA6F8D"/>
    <w:rsid w:val="00BA7DB6"/>
    <w:rsid w:val="00BB2EB3"/>
    <w:rsid w:val="00BB64C3"/>
    <w:rsid w:val="00BC01EF"/>
    <w:rsid w:val="00BC3CE1"/>
    <w:rsid w:val="00BD08E7"/>
    <w:rsid w:val="00BD2851"/>
    <w:rsid w:val="00BD33B4"/>
    <w:rsid w:val="00BD579B"/>
    <w:rsid w:val="00BD7DA2"/>
    <w:rsid w:val="00BE1221"/>
    <w:rsid w:val="00BF6A0E"/>
    <w:rsid w:val="00C0205C"/>
    <w:rsid w:val="00C03E16"/>
    <w:rsid w:val="00C0442B"/>
    <w:rsid w:val="00C0447F"/>
    <w:rsid w:val="00C04817"/>
    <w:rsid w:val="00C07031"/>
    <w:rsid w:val="00C11BA3"/>
    <w:rsid w:val="00C121F3"/>
    <w:rsid w:val="00C14552"/>
    <w:rsid w:val="00C31E36"/>
    <w:rsid w:val="00C369DF"/>
    <w:rsid w:val="00C36EB0"/>
    <w:rsid w:val="00C40636"/>
    <w:rsid w:val="00C44C40"/>
    <w:rsid w:val="00C44DB9"/>
    <w:rsid w:val="00C46017"/>
    <w:rsid w:val="00C47DEF"/>
    <w:rsid w:val="00C50BF9"/>
    <w:rsid w:val="00C52F38"/>
    <w:rsid w:val="00C62078"/>
    <w:rsid w:val="00C6347E"/>
    <w:rsid w:val="00C649B4"/>
    <w:rsid w:val="00C66C2C"/>
    <w:rsid w:val="00C750C1"/>
    <w:rsid w:val="00C75D5D"/>
    <w:rsid w:val="00C77F54"/>
    <w:rsid w:val="00C80C2C"/>
    <w:rsid w:val="00C878DF"/>
    <w:rsid w:val="00C90BC4"/>
    <w:rsid w:val="00C90D25"/>
    <w:rsid w:val="00C90E27"/>
    <w:rsid w:val="00C92614"/>
    <w:rsid w:val="00CA7813"/>
    <w:rsid w:val="00CB128B"/>
    <w:rsid w:val="00CB1AC8"/>
    <w:rsid w:val="00CB1C5A"/>
    <w:rsid w:val="00CC2011"/>
    <w:rsid w:val="00CD12F2"/>
    <w:rsid w:val="00CD46E9"/>
    <w:rsid w:val="00CE0356"/>
    <w:rsid w:val="00CE1CD2"/>
    <w:rsid w:val="00CF052C"/>
    <w:rsid w:val="00CF253B"/>
    <w:rsid w:val="00CF3390"/>
    <w:rsid w:val="00CF73A7"/>
    <w:rsid w:val="00CF76BB"/>
    <w:rsid w:val="00D0469F"/>
    <w:rsid w:val="00D048D1"/>
    <w:rsid w:val="00D13A2E"/>
    <w:rsid w:val="00D1496C"/>
    <w:rsid w:val="00D162EE"/>
    <w:rsid w:val="00D178EA"/>
    <w:rsid w:val="00D23948"/>
    <w:rsid w:val="00D24A3F"/>
    <w:rsid w:val="00D253F3"/>
    <w:rsid w:val="00D300EA"/>
    <w:rsid w:val="00D31E22"/>
    <w:rsid w:val="00D43B68"/>
    <w:rsid w:val="00D44217"/>
    <w:rsid w:val="00D524F7"/>
    <w:rsid w:val="00D53EA7"/>
    <w:rsid w:val="00D56342"/>
    <w:rsid w:val="00D66467"/>
    <w:rsid w:val="00D74562"/>
    <w:rsid w:val="00D74FB8"/>
    <w:rsid w:val="00D81D74"/>
    <w:rsid w:val="00D9764B"/>
    <w:rsid w:val="00DA14AE"/>
    <w:rsid w:val="00DA792A"/>
    <w:rsid w:val="00DB3B01"/>
    <w:rsid w:val="00DB5B79"/>
    <w:rsid w:val="00DC0B92"/>
    <w:rsid w:val="00DC1D45"/>
    <w:rsid w:val="00DC39BE"/>
    <w:rsid w:val="00DC76A6"/>
    <w:rsid w:val="00DC79BF"/>
    <w:rsid w:val="00DD7C90"/>
    <w:rsid w:val="00DE6B32"/>
    <w:rsid w:val="00DF271B"/>
    <w:rsid w:val="00DF2DEC"/>
    <w:rsid w:val="00DF418C"/>
    <w:rsid w:val="00DF7CD9"/>
    <w:rsid w:val="00E02B27"/>
    <w:rsid w:val="00E03D54"/>
    <w:rsid w:val="00E13E8B"/>
    <w:rsid w:val="00E1724B"/>
    <w:rsid w:val="00E21CCC"/>
    <w:rsid w:val="00E226F3"/>
    <w:rsid w:val="00E24FAE"/>
    <w:rsid w:val="00E26305"/>
    <w:rsid w:val="00E27C17"/>
    <w:rsid w:val="00E30DD8"/>
    <w:rsid w:val="00E369FC"/>
    <w:rsid w:val="00E5025F"/>
    <w:rsid w:val="00E56E5D"/>
    <w:rsid w:val="00E66EA1"/>
    <w:rsid w:val="00E71B8A"/>
    <w:rsid w:val="00E72455"/>
    <w:rsid w:val="00E74CBA"/>
    <w:rsid w:val="00E835D8"/>
    <w:rsid w:val="00E85172"/>
    <w:rsid w:val="00E87984"/>
    <w:rsid w:val="00EC1349"/>
    <w:rsid w:val="00EC2B59"/>
    <w:rsid w:val="00EC44AB"/>
    <w:rsid w:val="00EC7368"/>
    <w:rsid w:val="00ED6692"/>
    <w:rsid w:val="00ED7E91"/>
    <w:rsid w:val="00EE13FD"/>
    <w:rsid w:val="00EE1749"/>
    <w:rsid w:val="00EE3D57"/>
    <w:rsid w:val="00EE711C"/>
    <w:rsid w:val="00EF4CB2"/>
    <w:rsid w:val="00F01EDD"/>
    <w:rsid w:val="00F04947"/>
    <w:rsid w:val="00F07F89"/>
    <w:rsid w:val="00F11AA6"/>
    <w:rsid w:val="00F15C02"/>
    <w:rsid w:val="00F15CE2"/>
    <w:rsid w:val="00F161F5"/>
    <w:rsid w:val="00F24A54"/>
    <w:rsid w:val="00F2786C"/>
    <w:rsid w:val="00F3216E"/>
    <w:rsid w:val="00F34B0B"/>
    <w:rsid w:val="00F36CB3"/>
    <w:rsid w:val="00F36E3A"/>
    <w:rsid w:val="00F440CC"/>
    <w:rsid w:val="00F466CA"/>
    <w:rsid w:val="00F526A4"/>
    <w:rsid w:val="00F54B52"/>
    <w:rsid w:val="00F55310"/>
    <w:rsid w:val="00F62204"/>
    <w:rsid w:val="00F70BB3"/>
    <w:rsid w:val="00F7213D"/>
    <w:rsid w:val="00F74912"/>
    <w:rsid w:val="00F85D56"/>
    <w:rsid w:val="00F93251"/>
    <w:rsid w:val="00FA2049"/>
    <w:rsid w:val="00FA613D"/>
    <w:rsid w:val="00FA7D25"/>
    <w:rsid w:val="00FB0448"/>
    <w:rsid w:val="00FB710E"/>
    <w:rsid w:val="00FB742C"/>
    <w:rsid w:val="00FB7839"/>
    <w:rsid w:val="00FC39F3"/>
    <w:rsid w:val="00FC6BC3"/>
    <w:rsid w:val="00FD10D1"/>
    <w:rsid w:val="00FD2002"/>
    <w:rsid w:val="00FD21FE"/>
    <w:rsid w:val="00FD62CF"/>
    <w:rsid w:val="00FD7557"/>
    <w:rsid w:val="00FD7F30"/>
    <w:rsid w:val="00FF0E1B"/>
    <w:rsid w:val="00FF15CA"/>
    <w:rsid w:val="00FF21FC"/>
    <w:rsid w:val="00FF4747"/>
    <w:rsid w:val="00FF5A6D"/>
    <w:rsid w:val="00FF605E"/>
    <w:rsid w:val="00FF75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303FE0"/>
  <w15:docId w15:val="{63C25D50-01EA-4CF4-817C-92AFDE92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00EA"/>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CF25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0EA"/>
    <w:rPr>
      <w:sz w:val="22"/>
      <w:szCs w:val="22"/>
      <w:lang w:val="en-US" w:eastAsia="en-US"/>
    </w:rPr>
  </w:style>
  <w:style w:type="character" w:styleId="Hyperlink">
    <w:name w:val="Hyperlink"/>
    <w:basedOn w:val="DefaultParagraphFont"/>
    <w:uiPriority w:val="99"/>
    <w:unhideWhenUsed/>
    <w:rsid w:val="00ED6692"/>
    <w:rPr>
      <w:color w:val="0000FF"/>
      <w:u w:val="single"/>
    </w:rPr>
  </w:style>
  <w:style w:type="character" w:styleId="FollowedHyperlink">
    <w:name w:val="FollowedHyperlink"/>
    <w:basedOn w:val="DefaultParagraphFont"/>
    <w:uiPriority w:val="99"/>
    <w:semiHidden/>
    <w:unhideWhenUsed/>
    <w:rsid w:val="00861C71"/>
    <w:rPr>
      <w:color w:val="800080"/>
      <w:u w:val="single"/>
    </w:rPr>
  </w:style>
  <w:style w:type="paragraph" w:styleId="BalloonText">
    <w:name w:val="Balloon Text"/>
    <w:basedOn w:val="Normal"/>
    <w:link w:val="BalloonTextChar"/>
    <w:uiPriority w:val="99"/>
    <w:semiHidden/>
    <w:unhideWhenUsed/>
    <w:rsid w:val="000A1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DF"/>
    <w:rPr>
      <w:rFonts w:ascii="Tahoma" w:hAnsi="Tahoma" w:cs="Tahoma"/>
      <w:sz w:val="16"/>
      <w:szCs w:val="16"/>
      <w:lang w:val="en-US" w:eastAsia="en-US"/>
    </w:rPr>
  </w:style>
  <w:style w:type="paragraph" w:styleId="Header">
    <w:name w:val="header"/>
    <w:basedOn w:val="Normal"/>
    <w:link w:val="HeaderChar"/>
    <w:uiPriority w:val="99"/>
    <w:unhideWhenUsed/>
    <w:rsid w:val="00C31E36"/>
    <w:pPr>
      <w:tabs>
        <w:tab w:val="center" w:pos="4513"/>
        <w:tab w:val="right" w:pos="9026"/>
      </w:tabs>
    </w:pPr>
  </w:style>
  <w:style w:type="character" w:customStyle="1" w:styleId="HeaderChar">
    <w:name w:val="Header Char"/>
    <w:basedOn w:val="DefaultParagraphFont"/>
    <w:link w:val="Header"/>
    <w:uiPriority w:val="99"/>
    <w:rsid w:val="00C31E36"/>
    <w:rPr>
      <w:sz w:val="22"/>
      <w:szCs w:val="22"/>
      <w:lang w:val="en-US" w:eastAsia="en-US"/>
    </w:rPr>
  </w:style>
  <w:style w:type="paragraph" w:styleId="Footer">
    <w:name w:val="footer"/>
    <w:basedOn w:val="Normal"/>
    <w:link w:val="FooterChar"/>
    <w:uiPriority w:val="99"/>
    <w:unhideWhenUsed/>
    <w:rsid w:val="00C31E36"/>
    <w:pPr>
      <w:tabs>
        <w:tab w:val="center" w:pos="4513"/>
        <w:tab w:val="right" w:pos="9026"/>
      </w:tabs>
    </w:pPr>
  </w:style>
  <w:style w:type="character" w:customStyle="1" w:styleId="FooterChar">
    <w:name w:val="Footer Char"/>
    <w:basedOn w:val="DefaultParagraphFont"/>
    <w:link w:val="Footer"/>
    <w:uiPriority w:val="99"/>
    <w:rsid w:val="00C31E36"/>
    <w:rPr>
      <w:sz w:val="22"/>
      <w:szCs w:val="22"/>
      <w:lang w:val="en-US" w:eastAsia="en-US"/>
    </w:rPr>
  </w:style>
  <w:style w:type="character" w:styleId="Emphasis">
    <w:name w:val="Emphasis"/>
    <w:basedOn w:val="DefaultParagraphFont"/>
    <w:qFormat/>
    <w:rsid w:val="00716AD8"/>
    <w:rPr>
      <w:rFonts w:ascii="Calibri" w:hAnsi="Calibri"/>
      <w:i/>
      <w:iCs/>
    </w:rPr>
  </w:style>
  <w:style w:type="paragraph" w:styleId="ListParagraph">
    <w:name w:val="List Paragraph"/>
    <w:basedOn w:val="Normal"/>
    <w:link w:val="ListParagraphChar"/>
    <w:uiPriority w:val="34"/>
    <w:qFormat/>
    <w:rsid w:val="00716AD8"/>
    <w:pPr>
      <w:spacing w:after="0" w:line="240" w:lineRule="auto"/>
      <w:ind w:left="720"/>
      <w:contextualSpacing/>
    </w:pPr>
    <w:rPr>
      <w:rFonts w:ascii="Calibri" w:eastAsia="Times New Roman" w:hAnsi="Calibri" w:cs="Times New Roman"/>
      <w:szCs w:val="24"/>
      <w:lang w:val="en-GB" w:eastAsia="en-GB"/>
    </w:rPr>
  </w:style>
  <w:style w:type="paragraph" w:styleId="FootnoteText">
    <w:name w:val="footnote text"/>
    <w:basedOn w:val="Normal"/>
    <w:link w:val="FootnoteTextChar"/>
    <w:uiPriority w:val="99"/>
    <w:unhideWhenUsed/>
    <w:rsid w:val="00FD7F30"/>
    <w:rPr>
      <w:sz w:val="20"/>
      <w:szCs w:val="20"/>
    </w:rPr>
  </w:style>
  <w:style w:type="character" w:customStyle="1" w:styleId="FootnoteTextChar">
    <w:name w:val="Footnote Text Char"/>
    <w:basedOn w:val="DefaultParagraphFont"/>
    <w:link w:val="FootnoteText"/>
    <w:uiPriority w:val="99"/>
    <w:rsid w:val="00FD7F30"/>
    <w:rPr>
      <w:lang w:val="en-US" w:eastAsia="en-US"/>
    </w:rPr>
  </w:style>
  <w:style w:type="character" w:styleId="FootnoteReference">
    <w:name w:val="footnote reference"/>
    <w:basedOn w:val="DefaultParagraphFont"/>
    <w:uiPriority w:val="99"/>
    <w:semiHidden/>
    <w:unhideWhenUsed/>
    <w:rsid w:val="00FD7F30"/>
    <w:rPr>
      <w:vertAlign w:val="superscript"/>
    </w:rPr>
  </w:style>
  <w:style w:type="table" w:styleId="TableGrid">
    <w:name w:val="Table Grid"/>
    <w:basedOn w:val="TableNormal"/>
    <w:uiPriority w:val="59"/>
    <w:rsid w:val="00402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6F8D"/>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2BC9"/>
    <w:pPr>
      <w:autoSpaceDE w:val="0"/>
      <w:autoSpaceDN w:val="0"/>
      <w:adjustRightInd w:val="0"/>
    </w:pPr>
    <w:rPr>
      <w:rFonts w:ascii="Frutiger" w:eastAsiaTheme="minorHAnsi" w:hAnsi="Frutiger" w:cs="Frutiger"/>
      <w:color w:val="000000"/>
      <w:sz w:val="24"/>
      <w:szCs w:val="24"/>
      <w:lang w:eastAsia="en-US"/>
    </w:rPr>
  </w:style>
  <w:style w:type="paragraph" w:customStyle="1" w:styleId="Pa13">
    <w:name w:val="Pa13"/>
    <w:basedOn w:val="Default"/>
    <w:next w:val="Default"/>
    <w:uiPriority w:val="99"/>
    <w:rsid w:val="002C2BC9"/>
    <w:pPr>
      <w:spacing w:line="171" w:lineRule="atLeast"/>
    </w:pPr>
    <w:rPr>
      <w:rFonts w:cstheme="minorBidi"/>
      <w:color w:val="auto"/>
    </w:rPr>
  </w:style>
  <w:style w:type="paragraph" w:customStyle="1" w:styleId="Pa19">
    <w:name w:val="Pa19"/>
    <w:basedOn w:val="Default"/>
    <w:next w:val="Default"/>
    <w:uiPriority w:val="99"/>
    <w:rsid w:val="002C2BC9"/>
    <w:pPr>
      <w:spacing w:line="201" w:lineRule="atLeast"/>
    </w:pPr>
    <w:rPr>
      <w:rFonts w:cstheme="minorBidi"/>
      <w:color w:val="auto"/>
    </w:rPr>
  </w:style>
  <w:style w:type="character" w:customStyle="1" w:styleId="Heading2Char">
    <w:name w:val="Heading 2 Char"/>
    <w:basedOn w:val="DefaultParagraphFont"/>
    <w:link w:val="Heading2"/>
    <w:uiPriority w:val="9"/>
    <w:rsid w:val="00CF253B"/>
    <w:rPr>
      <w:rFonts w:asciiTheme="majorHAnsi" w:eastAsiaTheme="majorEastAsia" w:hAnsiTheme="majorHAnsi" w:cstheme="majorBidi"/>
      <w:b/>
      <w:bCs/>
      <w:color w:val="4F81BD" w:themeColor="accent1"/>
      <w:sz w:val="26"/>
      <w:szCs w:val="26"/>
      <w:lang w:val="en-US" w:eastAsia="en-US"/>
    </w:rPr>
  </w:style>
  <w:style w:type="paragraph" w:customStyle="1" w:styleId="Numberlist">
    <w:name w:val="Number list"/>
    <w:basedOn w:val="ListParagraph"/>
    <w:link w:val="NumberlistChar"/>
    <w:rsid w:val="00AB5114"/>
    <w:pPr>
      <w:numPr>
        <w:numId w:val="1"/>
      </w:numPr>
      <w:spacing w:before="120" w:after="120" w:line="264" w:lineRule="auto"/>
    </w:pPr>
    <w:rPr>
      <w:rFonts w:cs="Calibri"/>
      <w:lang w:val="en-US"/>
    </w:rPr>
  </w:style>
  <w:style w:type="character" w:customStyle="1" w:styleId="NumberlistChar">
    <w:name w:val="Number list Char"/>
    <w:basedOn w:val="DefaultParagraphFont"/>
    <w:link w:val="Numberlist"/>
    <w:rsid w:val="00AB5114"/>
    <w:rPr>
      <w:rFonts w:ascii="Calibri" w:eastAsia="Times New Roman" w:hAnsi="Calibri" w:cs="Calibri"/>
      <w:sz w:val="22"/>
      <w:szCs w:val="24"/>
      <w:lang w:val="en-US" w:eastAsia="en-GB"/>
    </w:rPr>
  </w:style>
  <w:style w:type="character" w:customStyle="1" w:styleId="ListParagraphChar">
    <w:name w:val="List Paragraph Char"/>
    <w:basedOn w:val="DefaultParagraphFont"/>
    <w:link w:val="ListParagraph"/>
    <w:uiPriority w:val="34"/>
    <w:rsid w:val="00AB5114"/>
    <w:rPr>
      <w:rFonts w:ascii="Calibri" w:eastAsia="Times New Roman" w:hAnsi="Calibri" w:cs="Times New Roman"/>
      <w:sz w:val="22"/>
      <w:szCs w:val="24"/>
      <w:lang w:val="en-GB" w:eastAsia="en-GB"/>
    </w:rPr>
  </w:style>
  <w:style w:type="paragraph" w:customStyle="1" w:styleId="Bullets">
    <w:name w:val="Bullets"/>
    <w:basedOn w:val="ListParagraph"/>
    <w:link w:val="BulletsChar"/>
    <w:qFormat/>
    <w:rsid w:val="00AB5114"/>
    <w:pPr>
      <w:numPr>
        <w:numId w:val="2"/>
      </w:numPr>
      <w:spacing w:before="40" w:after="40"/>
      <w:contextualSpacing w:val="0"/>
    </w:pPr>
    <w:rPr>
      <w:rFonts w:cs="Calibri"/>
      <w:lang w:val="en-US"/>
    </w:rPr>
  </w:style>
  <w:style w:type="character" w:customStyle="1" w:styleId="BulletsChar">
    <w:name w:val="Bullets Char"/>
    <w:basedOn w:val="ListParagraphChar"/>
    <w:link w:val="Bullets"/>
    <w:rsid w:val="00AB5114"/>
    <w:rPr>
      <w:rFonts w:ascii="Calibri" w:eastAsia="Times New Roman" w:hAnsi="Calibri" w:cs="Calibri"/>
      <w:sz w:val="22"/>
      <w:szCs w:val="24"/>
      <w:lang w:val="en-US" w:eastAsia="en-GB"/>
    </w:rPr>
  </w:style>
  <w:style w:type="table" w:styleId="TableClassic1">
    <w:name w:val="Table Classic 1"/>
    <w:basedOn w:val="TableNormal"/>
    <w:rsid w:val="00AB5114"/>
    <w:pPr>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647E6"/>
    <w:rPr>
      <w:sz w:val="16"/>
      <w:szCs w:val="16"/>
    </w:rPr>
  </w:style>
  <w:style w:type="paragraph" w:styleId="CommentText">
    <w:name w:val="annotation text"/>
    <w:basedOn w:val="Normal"/>
    <w:link w:val="CommentTextChar"/>
    <w:uiPriority w:val="99"/>
    <w:semiHidden/>
    <w:unhideWhenUsed/>
    <w:rsid w:val="005647E6"/>
    <w:pPr>
      <w:spacing w:line="240" w:lineRule="auto"/>
    </w:pPr>
    <w:rPr>
      <w:sz w:val="20"/>
      <w:szCs w:val="20"/>
    </w:rPr>
  </w:style>
  <w:style w:type="character" w:customStyle="1" w:styleId="CommentTextChar">
    <w:name w:val="Comment Text Char"/>
    <w:basedOn w:val="DefaultParagraphFont"/>
    <w:link w:val="CommentText"/>
    <w:uiPriority w:val="99"/>
    <w:semiHidden/>
    <w:rsid w:val="005647E6"/>
    <w:rPr>
      <w:lang w:val="en-US" w:eastAsia="en-US"/>
    </w:rPr>
  </w:style>
  <w:style w:type="paragraph" w:styleId="CommentSubject">
    <w:name w:val="annotation subject"/>
    <w:basedOn w:val="CommentText"/>
    <w:next w:val="CommentText"/>
    <w:link w:val="CommentSubjectChar"/>
    <w:uiPriority w:val="99"/>
    <w:semiHidden/>
    <w:unhideWhenUsed/>
    <w:rsid w:val="005647E6"/>
    <w:rPr>
      <w:b/>
      <w:bCs/>
    </w:rPr>
  </w:style>
  <w:style w:type="character" w:customStyle="1" w:styleId="CommentSubjectChar">
    <w:name w:val="Comment Subject Char"/>
    <w:basedOn w:val="CommentTextChar"/>
    <w:link w:val="CommentSubject"/>
    <w:uiPriority w:val="99"/>
    <w:semiHidden/>
    <w:rsid w:val="005647E6"/>
    <w:rPr>
      <w:b/>
      <w:bCs/>
      <w:lang w:val="en-US" w:eastAsia="en-US"/>
    </w:rPr>
  </w:style>
  <w:style w:type="paragraph" w:styleId="PlainText">
    <w:name w:val="Plain Text"/>
    <w:basedOn w:val="Normal"/>
    <w:link w:val="PlainTextChar"/>
    <w:uiPriority w:val="99"/>
    <w:semiHidden/>
    <w:unhideWhenUsed/>
    <w:rsid w:val="00080176"/>
    <w:pPr>
      <w:spacing w:after="0" w:line="240" w:lineRule="auto"/>
    </w:pPr>
    <w:rPr>
      <w:rFonts w:ascii="Calibri" w:eastAsiaTheme="minorHAnsi" w:hAnsi="Calibri" w:cstheme="minorBidi"/>
      <w:szCs w:val="21"/>
      <w:lang w:val="en-NZ"/>
    </w:rPr>
  </w:style>
  <w:style w:type="character" w:customStyle="1" w:styleId="PlainTextChar">
    <w:name w:val="Plain Text Char"/>
    <w:basedOn w:val="DefaultParagraphFont"/>
    <w:link w:val="PlainText"/>
    <w:uiPriority w:val="99"/>
    <w:semiHidden/>
    <w:rsid w:val="00080176"/>
    <w:rPr>
      <w:rFonts w:ascii="Calibri" w:eastAsiaTheme="minorHAnsi" w:hAnsi="Calibri" w:cstheme="minorBidi"/>
      <w:sz w:val="22"/>
      <w:szCs w:val="21"/>
      <w:lang w:eastAsia="en-US"/>
    </w:rPr>
  </w:style>
  <w:style w:type="paragraph" w:styleId="Revision">
    <w:name w:val="Revision"/>
    <w:hidden/>
    <w:uiPriority w:val="99"/>
    <w:semiHidden/>
    <w:rsid w:val="0008017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91">
      <w:bodyDiv w:val="1"/>
      <w:marLeft w:val="0"/>
      <w:marRight w:val="0"/>
      <w:marTop w:val="0"/>
      <w:marBottom w:val="0"/>
      <w:divBdr>
        <w:top w:val="none" w:sz="0" w:space="0" w:color="auto"/>
        <w:left w:val="none" w:sz="0" w:space="0" w:color="auto"/>
        <w:bottom w:val="none" w:sz="0" w:space="0" w:color="auto"/>
        <w:right w:val="none" w:sz="0" w:space="0" w:color="auto"/>
      </w:divBdr>
    </w:div>
    <w:div w:id="183174727">
      <w:bodyDiv w:val="1"/>
      <w:marLeft w:val="0"/>
      <w:marRight w:val="0"/>
      <w:marTop w:val="0"/>
      <w:marBottom w:val="0"/>
      <w:divBdr>
        <w:top w:val="none" w:sz="0" w:space="0" w:color="auto"/>
        <w:left w:val="none" w:sz="0" w:space="0" w:color="auto"/>
        <w:bottom w:val="none" w:sz="0" w:space="0" w:color="auto"/>
        <w:right w:val="none" w:sz="0" w:space="0" w:color="auto"/>
      </w:divBdr>
    </w:div>
    <w:div w:id="260378794">
      <w:bodyDiv w:val="1"/>
      <w:marLeft w:val="0"/>
      <w:marRight w:val="0"/>
      <w:marTop w:val="0"/>
      <w:marBottom w:val="0"/>
      <w:divBdr>
        <w:top w:val="none" w:sz="0" w:space="0" w:color="auto"/>
        <w:left w:val="none" w:sz="0" w:space="0" w:color="auto"/>
        <w:bottom w:val="none" w:sz="0" w:space="0" w:color="auto"/>
        <w:right w:val="none" w:sz="0" w:space="0" w:color="auto"/>
      </w:divBdr>
    </w:div>
    <w:div w:id="283467532">
      <w:bodyDiv w:val="1"/>
      <w:marLeft w:val="0"/>
      <w:marRight w:val="0"/>
      <w:marTop w:val="0"/>
      <w:marBottom w:val="0"/>
      <w:divBdr>
        <w:top w:val="none" w:sz="0" w:space="0" w:color="auto"/>
        <w:left w:val="none" w:sz="0" w:space="0" w:color="auto"/>
        <w:bottom w:val="none" w:sz="0" w:space="0" w:color="auto"/>
        <w:right w:val="none" w:sz="0" w:space="0" w:color="auto"/>
      </w:divBdr>
    </w:div>
    <w:div w:id="373968356">
      <w:bodyDiv w:val="1"/>
      <w:marLeft w:val="0"/>
      <w:marRight w:val="0"/>
      <w:marTop w:val="0"/>
      <w:marBottom w:val="0"/>
      <w:divBdr>
        <w:top w:val="none" w:sz="0" w:space="0" w:color="auto"/>
        <w:left w:val="none" w:sz="0" w:space="0" w:color="auto"/>
        <w:bottom w:val="none" w:sz="0" w:space="0" w:color="auto"/>
        <w:right w:val="none" w:sz="0" w:space="0" w:color="auto"/>
      </w:divBdr>
    </w:div>
    <w:div w:id="386879233">
      <w:bodyDiv w:val="1"/>
      <w:marLeft w:val="0"/>
      <w:marRight w:val="0"/>
      <w:marTop w:val="0"/>
      <w:marBottom w:val="0"/>
      <w:divBdr>
        <w:top w:val="none" w:sz="0" w:space="0" w:color="auto"/>
        <w:left w:val="none" w:sz="0" w:space="0" w:color="auto"/>
        <w:bottom w:val="none" w:sz="0" w:space="0" w:color="auto"/>
        <w:right w:val="none" w:sz="0" w:space="0" w:color="auto"/>
      </w:divBdr>
    </w:div>
    <w:div w:id="647588695">
      <w:bodyDiv w:val="1"/>
      <w:marLeft w:val="0"/>
      <w:marRight w:val="0"/>
      <w:marTop w:val="0"/>
      <w:marBottom w:val="0"/>
      <w:divBdr>
        <w:top w:val="none" w:sz="0" w:space="0" w:color="auto"/>
        <w:left w:val="none" w:sz="0" w:space="0" w:color="auto"/>
        <w:bottom w:val="none" w:sz="0" w:space="0" w:color="auto"/>
        <w:right w:val="none" w:sz="0" w:space="0" w:color="auto"/>
      </w:divBdr>
    </w:div>
    <w:div w:id="710501124">
      <w:bodyDiv w:val="1"/>
      <w:marLeft w:val="0"/>
      <w:marRight w:val="0"/>
      <w:marTop w:val="0"/>
      <w:marBottom w:val="0"/>
      <w:divBdr>
        <w:top w:val="none" w:sz="0" w:space="0" w:color="auto"/>
        <w:left w:val="none" w:sz="0" w:space="0" w:color="auto"/>
        <w:bottom w:val="none" w:sz="0" w:space="0" w:color="auto"/>
        <w:right w:val="none" w:sz="0" w:space="0" w:color="auto"/>
      </w:divBdr>
      <w:divsChild>
        <w:div w:id="1555769666">
          <w:marLeft w:val="720"/>
          <w:marRight w:val="0"/>
          <w:marTop w:val="240"/>
          <w:marBottom w:val="0"/>
          <w:divBdr>
            <w:top w:val="none" w:sz="0" w:space="0" w:color="auto"/>
            <w:left w:val="none" w:sz="0" w:space="0" w:color="auto"/>
            <w:bottom w:val="none" w:sz="0" w:space="0" w:color="auto"/>
            <w:right w:val="none" w:sz="0" w:space="0" w:color="auto"/>
          </w:divBdr>
        </w:div>
        <w:div w:id="1424033865">
          <w:marLeft w:val="1440"/>
          <w:marRight w:val="0"/>
          <w:marTop w:val="240"/>
          <w:marBottom w:val="0"/>
          <w:divBdr>
            <w:top w:val="none" w:sz="0" w:space="0" w:color="auto"/>
            <w:left w:val="none" w:sz="0" w:space="0" w:color="auto"/>
            <w:bottom w:val="none" w:sz="0" w:space="0" w:color="auto"/>
            <w:right w:val="none" w:sz="0" w:space="0" w:color="auto"/>
          </w:divBdr>
        </w:div>
        <w:div w:id="1405301450">
          <w:marLeft w:val="720"/>
          <w:marRight w:val="0"/>
          <w:marTop w:val="240"/>
          <w:marBottom w:val="0"/>
          <w:divBdr>
            <w:top w:val="none" w:sz="0" w:space="0" w:color="auto"/>
            <w:left w:val="none" w:sz="0" w:space="0" w:color="auto"/>
            <w:bottom w:val="none" w:sz="0" w:space="0" w:color="auto"/>
            <w:right w:val="none" w:sz="0" w:space="0" w:color="auto"/>
          </w:divBdr>
        </w:div>
        <w:div w:id="176819295">
          <w:marLeft w:val="1440"/>
          <w:marRight w:val="0"/>
          <w:marTop w:val="240"/>
          <w:marBottom w:val="0"/>
          <w:divBdr>
            <w:top w:val="none" w:sz="0" w:space="0" w:color="auto"/>
            <w:left w:val="none" w:sz="0" w:space="0" w:color="auto"/>
            <w:bottom w:val="none" w:sz="0" w:space="0" w:color="auto"/>
            <w:right w:val="none" w:sz="0" w:space="0" w:color="auto"/>
          </w:divBdr>
        </w:div>
        <w:div w:id="474373034">
          <w:marLeft w:val="1440"/>
          <w:marRight w:val="0"/>
          <w:marTop w:val="240"/>
          <w:marBottom w:val="0"/>
          <w:divBdr>
            <w:top w:val="none" w:sz="0" w:space="0" w:color="auto"/>
            <w:left w:val="none" w:sz="0" w:space="0" w:color="auto"/>
            <w:bottom w:val="none" w:sz="0" w:space="0" w:color="auto"/>
            <w:right w:val="none" w:sz="0" w:space="0" w:color="auto"/>
          </w:divBdr>
        </w:div>
        <w:div w:id="973289077">
          <w:marLeft w:val="720"/>
          <w:marRight w:val="0"/>
          <w:marTop w:val="240"/>
          <w:marBottom w:val="0"/>
          <w:divBdr>
            <w:top w:val="none" w:sz="0" w:space="0" w:color="auto"/>
            <w:left w:val="none" w:sz="0" w:space="0" w:color="auto"/>
            <w:bottom w:val="none" w:sz="0" w:space="0" w:color="auto"/>
            <w:right w:val="none" w:sz="0" w:space="0" w:color="auto"/>
          </w:divBdr>
        </w:div>
        <w:div w:id="730731645">
          <w:marLeft w:val="1440"/>
          <w:marRight w:val="0"/>
          <w:marTop w:val="240"/>
          <w:marBottom w:val="0"/>
          <w:divBdr>
            <w:top w:val="none" w:sz="0" w:space="0" w:color="auto"/>
            <w:left w:val="none" w:sz="0" w:space="0" w:color="auto"/>
            <w:bottom w:val="none" w:sz="0" w:space="0" w:color="auto"/>
            <w:right w:val="none" w:sz="0" w:space="0" w:color="auto"/>
          </w:divBdr>
        </w:div>
        <w:div w:id="247888175">
          <w:marLeft w:val="1440"/>
          <w:marRight w:val="0"/>
          <w:marTop w:val="240"/>
          <w:marBottom w:val="0"/>
          <w:divBdr>
            <w:top w:val="none" w:sz="0" w:space="0" w:color="auto"/>
            <w:left w:val="none" w:sz="0" w:space="0" w:color="auto"/>
            <w:bottom w:val="none" w:sz="0" w:space="0" w:color="auto"/>
            <w:right w:val="none" w:sz="0" w:space="0" w:color="auto"/>
          </w:divBdr>
        </w:div>
      </w:divsChild>
    </w:div>
    <w:div w:id="1064453731">
      <w:bodyDiv w:val="1"/>
      <w:marLeft w:val="0"/>
      <w:marRight w:val="0"/>
      <w:marTop w:val="0"/>
      <w:marBottom w:val="0"/>
      <w:divBdr>
        <w:top w:val="none" w:sz="0" w:space="0" w:color="auto"/>
        <w:left w:val="none" w:sz="0" w:space="0" w:color="auto"/>
        <w:bottom w:val="none" w:sz="0" w:space="0" w:color="auto"/>
        <w:right w:val="none" w:sz="0" w:space="0" w:color="auto"/>
      </w:divBdr>
    </w:div>
    <w:div w:id="1141581493">
      <w:bodyDiv w:val="1"/>
      <w:marLeft w:val="0"/>
      <w:marRight w:val="0"/>
      <w:marTop w:val="0"/>
      <w:marBottom w:val="0"/>
      <w:divBdr>
        <w:top w:val="none" w:sz="0" w:space="0" w:color="auto"/>
        <w:left w:val="none" w:sz="0" w:space="0" w:color="auto"/>
        <w:bottom w:val="none" w:sz="0" w:space="0" w:color="auto"/>
        <w:right w:val="none" w:sz="0" w:space="0" w:color="auto"/>
      </w:divBdr>
    </w:div>
    <w:div w:id="1197351455">
      <w:bodyDiv w:val="1"/>
      <w:marLeft w:val="0"/>
      <w:marRight w:val="0"/>
      <w:marTop w:val="0"/>
      <w:marBottom w:val="0"/>
      <w:divBdr>
        <w:top w:val="none" w:sz="0" w:space="0" w:color="auto"/>
        <w:left w:val="none" w:sz="0" w:space="0" w:color="auto"/>
        <w:bottom w:val="none" w:sz="0" w:space="0" w:color="auto"/>
        <w:right w:val="none" w:sz="0" w:space="0" w:color="auto"/>
      </w:divBdr>
    </w:div>
    <w:div w:id="1203323436">
      <w:bodyDiv w:val="1"/>
      <w:marLeft w:val="0"/>
      <w:marRight w:val="0"/>
      <w:marTop w:val="0"/>
      <w:marBottom w:val="0"/>
      <w:divBdr>
        <w:top w:val="none" w:sz="0" w:space="0" w:color="auto"/>
        <w:left w:val="none" w:sz="0" w:space="0" w:color="auto"/>
        <w:bottom w:val="none" w:sz="0" w:space="0" w:color="auto"/>
        <w:right w:val="none" w:sz="0" w:space="0" w:color="auto"/>
      </w:divBdr>
    </w:div>
    <w:div w:id="1232423044">
      <w:bodyDiv w:val="1"/>
      <w:marLeft w:val="0"/>
      <w:marRight w:val="0"/>
      <w:marTop w:val="0"/>
      <w:marBottom w:val="0"/>
      <w:divBdr>
        <w:top w:val="none" w:sz="0" w:space="0" w:color="auto"/>
        <w:left w:val="none" w:sz="0" w:space="0" w:color="auto"/>
        <w:bottom w:val="none" w:sz="0" w:space="0" w:color="auto"/>
        <w:right w:val="none" w:sz="0" w:space="0" w:color="auto"/>
      </w:divBdr>
    </w:div>
    <w:div w:id="1304776651">
      <w:bodyDiv w:val="1"/>
      <w:marLeft w:val="0"/>
      <w:marRight w:val="0"/>
      <w:marTop w:val="0"/>
      <w:marBottom w:val="0"/>
      <w:divBdr>
        <w:top w:val="none" w:sz="0" w:space="0" w:color="auto"/>
        <w:left w:val="none" w:sz="0" w:space="0" w:color="auto"/>
        <w:bottom w:val="none" w:sz="0" w:space="0" w:color="auto"/>
        <w:right w:val="none" w:sz="0" w:space="0" w:color="auto"/>
      </w:divBdr>
    </w:div>
    <w:div w:id="1623998576">
      <w:bodyDiv w:val="1"/>
      <w:marLeft w:val="0"/>
      <w:marRight w:val="0"/>
      <w:marTop w:val="0"/>
      <w:marBottom w:val="0"/>
      <w:divBdr>
        <w:top w:val="none" w:sz="0" w:space="0" w:color="auto"/>
        <w:left w:val="none" w:sz="0" w:space="0" w:color="auto"/>
        <w:bottom w:val="none" w:sz="0" w:space="0" w:color="auto"/>
        <w:right w:val="none" w:sz="0" w:space="0" w:color="auto"/>
      </w:divBdr>
      <w:divsChild>
        <w:div w:id="1082525006">
          <w:marLeft w:val="547"/>
          <w:marRight w:val="0"/>
          <w:marTop w:val="96"/>
          <w:marBottom w:val="0"/>
          <w:divBdr>
            <w:top w:val="none" w:sz="0" w:space="0" w:color="auto"/>
            <w:left w:val="none" w:sz="0" w:space="0" w:color="auto"/>
            <w:bottom w:val="none" w:sz="0" w:space="0" w:color="auto"/>
            <w:right w:val="none" w:sz="0" w:space="0" w:color="auto"/>
          </w:divBdr>
        </w:div>
        <w:div w:id="2072775090">
          <w:marLeft w:val="547"/>
          <w:marRight w:val="0"/>
          <w:marTop w:val="96"/>
          <w:marBottom w:val="0"/>
          <w:divBdr>
            <w:top w:val="none" w:sz="0" w:space="0" w:color="auto"/>
            <w:left w:val="none" w:sz="0" w:space="0" w:color="auto"/>
            <w:bottom w:val="none" w:sz="0" w:space="0" w:color="auto"/>
            <w:right w:val="none" w:sz="0" w:space="0" w:color="auto"/>
          </w:divBdr>
        </w:div>
        <w:div w:id="2013756836">
          <w:marLeft w:val="547"/>
          <w:marRight w:val="0"/>
          <w:marTop w:val="96"/>
          <w:marBottom w:val="0"/>
          <w:divBdr>
            <w:top w:val="none" w:sz="0" w:space="0" w:color="auto"/>
            <w:left w:val="none" w:sz="0" w:space="0" w:color="auto"/>
            <w:bottom w:val="none" w:sz="0" w:space="0" w:color="auto"/>
            <w:right w:val="none" w:sz="0" w:space="0" w:color="auto"/>
          </w:divBdr>
        </w:div>
        <w:div w:id="842017192">
          <w:marLeft w:val="547"/>
          <w:marRight w:val="0"/>
          <w:marTop w:val="96"/>
          <w:marBottom w:val="0"/>
          <w:divBdr>
            <w:top w:val="none" w:sz="0" w:space="0" w:color="auto"/>
            <w:left w:val="none" w:sz="0" w:space="0" w:color="auto"/>
            <w:bottom w:val="none" w:sz="0" w:space="0" w:color="auto"/>
            <w:right w:val="none" w:sz="0" w:space="0" w:color="auto"/>
          </w:divBdr>
        </w:div>
        <w:div w:id="607591175">
          <w:marLeft w:val="1714"/>
          <w:marRight w:val="0"/>
          <w:marTop w:val="96"/>
          <w:marBottom w:val="0"/>
          <w:divBdr>
            <w:top w:val="none" w:sz="0" w:space="0" w:color="auto"/>
            <w:left w:val="none" w:sz="0" w:space="0" w:color="auto"/>
            <w:bottom w:val="none" w:sz="0" w:space="0" w:color="auto"/>
            <w:right w:val="none" w:sz="0" w:space="0" w:color="auto"/>
          </w:divBdr>
        </w:div>
        <w:div w:id="2104064063">
          <w:marLeft w:val="547"/>
          <w:marRight w:val="0"/>
          <w:marTop w:val="96"/>
          <w:marBottom w:val="0"/>
          <w:divBdr>
            <w:top w:val="none" w:sz="0" w:space="0" w:color="auto"/>
            <w:left w:val="none" w:sz="0" w:space="0" w:color="auto"/>
            <w:bottom w:val="none" w:sz="0" w:space="0" w:color="auto"/>
            <w:right w:val="none" w:sz="0" w:space="0" w:color="auto"/>
          </w:divBdr>
        </w:div>
        <w:div w:id="1495098189">
          <w:marLeft w:val="547"/>
          <w:marRight w:val="0"/>
          <w:marTop w:val="96"/>
          <w:marBottom w:val="0"/>
          <w:divBdr>
            <w:top w:val="none" w:sz="0" w:space="0" w:color="auto"/>
            <w:left w:val="none" w:sz="0" w:space="0" w:color="auto"/>
            <w:bottom w:val="none" w:sz="0" w:space="0" w:color="auto"/>
            <w:right w:val="none" w:sz="0" w:space="0" w:color="auto"/>
          </w:divBdr>
        </w:div>
        <w:div w:id="917708176">
          <w:marLeft w:val="547"/>
          <w:marRight w:val="0"/>
          <w:marTop w:val="96"/>
          <w:marBottom w:val="0"/>
          <w:divBdr>
            <w:top w:val="none" w:sz="0" w:space="0" w:color="auto"/>
            <w:left w:val="none" w:sz="0" w:space="0" w:color="auto"/>
            <w:bottom w:val="none" w:sz="0" w:space="0" w:color="auto"/>
            <w:right w:val="none" w:sz="0" w:space="0" w:color="auto"/>
          </w:divBdr>
        </w:div>
        <w:div w:id="465700086">
          <w:marLeft w:val="547"/>
          <w:marRight w:val="0"/>
          <w:marTop w:val="96"/>
          <w:marBottom w:val="0"/>
          <w:divBdr>
            <w:top w:val="none" w:sz="0" w:space="0" w:color="auto"/>
            <w:left w:val="none" w:sz="0" w:space="0" w:color="auto"/>
            <w:bottom w:val="none" w:sz="0" w:space="0" w:color="auto"/>
            <w:right w:val="none" w:sz="0" w:space="0" w:color="auto"/>
          </w:divBdr>
        </w:div>
      </w:divsChild>
    </w:div>
    <w:div w:id="1637834931">
      <w:bodyDiv w:val="1"/>
      <w:marLeft w:val="0"/>
      <w:marRight w:val="0"/>
      <w:marTop w:val="0"/>
      <w:marBottom w:val="0"/>
      <w:divBdr>
        <w:top w:val="none" w:sz="0" w:space="0" w:color="auto"/>
        <w:left w:val="none" w:sz="0" w:space="0" w:color="auto"/>
        <w:bottom w:val="none" w:sz="0" w:space="0" w:color="auto"/>
        <w:right w:val="none" w:sz="0" w:space="0" w:color="auto"/>
      </w:divBdr>
    </w:div>
    <w:div w:id="16814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dairynz.co.nz/media/3361747/Nutrient_management_on_your_dairy_farm.pdf" TargetMode="External" Id="rId13" /><Relationship Type="http://schemas.openxmlformats.org/officeDocument/2006/relationships/hyperlink" Target="http://www.beeflambnz.com/Documents/Farm/Drystockfarms.pdf" TargetMode="External" Id="rId18" /><Relationship Type="http://schemas.openxmlformats.org/officeDocument/2006/relationships/hyperlink" Target="http://www.rotorualakes.co.nz/phosphorus-locking" TargetMode="External" Id="rId26" /><Relationship Type="http://schemas.openxmlformats.org/officeDocument/2006/relationships/theme" Target="theme/theme1.xml" Id="rId39" /><Relationship Type="http://schemas.openxmlformats.org/officeDocument/2006/relationships/styles" Target="styles.xml" Id="rId3" /><Relationship Type="http://schemas.openxmlformats.org/officeDocument/2006/relationships/hyperlink" Target="http://www.tandfonline.com/doi/pdf/10.1080/00288233.2005.9513643?needAccess=true" TargetMode="External" Id="rId21" /><Relationship Type="http://schemas.openxmlformats.org/officeDocument/2006/relationships/image" Target="media/image3.png" Id="rId34" /><Relationship Type="http://schemas.openxmlformats.org/officeDocument/2006/relationships/endnotes" Target="endnotes.xml" Id="rId7" /><Relationship Type="http://schemas.openxmlformats.org/officeDocument/2006/relationships/hyperlink" Target="http://www.beeflambnz.com/Documents/Farm/Drystockfarms.pdf" TargetMode="External" Id="rId12" /><Relationship Type="http://schemas.openxmlformats.org/officeDocument/2006/relationships/hyperlink" Target="http://www.scionresearch.com/general/publications/annual-reports/2016-annual-report/research-performance/commercial-forestry-impact-stories/precision-nutrient-management-for-maximum-productivity" TargetMode="External" Id="rId17" /><Relationship Type="http://schemas.openxmlformats.org/officeDocument/2006/relationships/image" Target="media/image2.png" Id="rId25" /><Relationship Type="http://schemas.openxmlformats.org/officeDocument/2006/relationships/hyperlink" Target="http://www.rotorualakes.co.nz/vdb/document/83" TargetMode="External" Id="rId33" /><Relationship Type="http://schemas.openxmlformats.org/officeDocument/2006/relationships/fontTable" Target="fontTable.xml" Id="rId38" /><Relationship Type="http://schemas.openxmlformats.org/officeDocument/2006/relationships/numbering" Target="numbering.xml" Id="rId2" /><Relationship Type="http://schemas.openxmlformats.org/officeDocument/2006/relationships/hyperlink" Target="http://www.nzfoa.org.nz/images/stories/pdfs/content/certification/1309FSC-STD-NZL-01-2012New_Zealandplantations_0913.pdf" TargetMode="External" Id="rId16" /><Relationship Type="http://schemas.openxmlformats.org/officeDocument/2006/relationships/hyperlink" Target="http://www.waikatoregion.govt.nz/PageFiles/30016/factsheets/CNM%20factsheet%20phosphorus_use_9.pdf" TargetMode="External" Id="rId20" /><Relationship Type="http://schemas.openxmlformats.org/officeDocument/2006/relationships/hyperlink" Target="http://www.rotorualakes.co.nz/gorse-conversion-fund"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beeflambnz.com/farm/environment/land-and-environment-planning-toolkit/" TargetMode="External" Id="rId11" /><Relationship Type="http://schemas.openxmlformats.org/officeDocument/2006/relationships/hyperlink" Target="http://www.rotorualakes.co.nz/vdb/document/383" TargetMode="External" Id="rId24" /><Relationship Type="http://schemas.openxmlformats.org/officeDocument/2006/relationships/hyperlink" Target="http://www.rotorualakes.co.nz/vdb/document/78" TargetMode="External" Id="rId32" /><Relationship Type="http://schemas.openxmlformats.org/officeDocument/2006/relationships/footer" Target="footer1.xml" Id="rId37" /><Relationship Type="http://schemas.openxmlformats.org/officeDocument/2006/relationships/webSettings" Target="webSettings.xml" Id="rId5" /><Relationship Type="http://schemas.openxmlformats.org/officeDocument/2006/relationships/hyperlink" Target="http://www.nzfoa.org.nz/resources/file-libraries-resources/codes-of-practice/44-environmental-code-of-practice/file" TargetMode="External" Id="rId15" /><Relationship Type="http://schemas.openxmlformats.org/officeDocument/2006/relationships/hyperlink" Target="http://www.rotorualakes.co.nz/vdb/document/83" TargetMode="External" Id="rId23" /><Relationship Type="http://schemas.openxmlformats.org/officeDocument/2006/relationships/hyperlink" Target="http://www.rotorualakescouncil.nz/our-council/news/Pages/default.aspx?newsItem=7163" TargetMode="External" Id="rId28" /><Relationship Type="http://schemas.openxmlformats.org/officeDocument/2006/relationships/header" Target="header1.xml" Id="rId36" /><Relationship Type="http://schemas.openxmlformats.org/officeDocument/2006/relationships/hyperlink" Target="http://www.rotorualakes.co.nz/vdb/document/1454" TargetMode="External" Id="rId10" /><Relationship Type="http://schemas.openxmlformats.org/officeDocument/2006/relationships/hyperlink" Target="https://www.dairynz.co.nz/media/255819/7-12_Phosphorus_fertiliser_2012.pdf" TargetMode="External" Id="rId19" /><Relationship Type="http://schemas.openxmlformats.org/officeDocument/2006/relationships/hyperlink" Target="http://www.rotoruafarmers.org.nz/new-project-to-assess-on-farm-detainment-bunds-and-phosphorus-mitigation/" TargetMode="External" Id="rId31" /><Relationship Type="http://schemas.openxmlformats.org/officeDocument/2006/relationships/settings" Target="settings.xml" Id="rId4" /><Relationship Type="http://schemas.openxmlformats.org/officeDocument/2006/relationships/hyperlink" Target="http://www.rotorualakes.co.nz/vdb/document/1409" TargetMode="External" Id="rId9" /><Relationship Type="http://schemas.openxmlformats.org/officeDocument/2006/relationships/hyperlink" Target="http://deernz.org.nz/sites/dinz/files/NZ%20Deer%20Farmers%20Landcare%20manual%202012%20for%20web.pdf" TargetMode="External" Id="rId14" /><Relationship Type="http://schemas.openxmlformats.org/officeDocument/2006/relationships/hyperlink" Target="http://www.massey.ac.nz/~flrc/workshops/16/Manuscripts/Paper_Gray_2016.pdf" TargetMode="External" Id="rId22" /><Relationship Type="http://schemas.openxmlformats.org/officeDocument/2006/relationships/hyperlink" Target="http://www.rotorualakes.co.nz/vdb/document/1409" TargetMode="External" Id="rId27" /><Relationship Type="http://schemas.openxmlformats.org/officeDocument/2006/relationships/hyperlink" Target="http://geo.rdc.govt.nz/BOPLASS/Tiny/TRIM.aspx?recNum=RDC-656761" TargetMode="External" Id="rId30" /><Relationship Type="http://schemas.openxmlformats.org/officeDocument/2006/relationships/hyperlink" Target="http://www.beeflambnz.com/Documents/Farm/Drystockfarms.pdf" TargetMode="External" Id="rId35" /><Relationship Type="http://schemas.openxmlformats.org/officeDocument/2006/relationships/customXml" Target="/customXML/item2.xml" Id="R9b3a0762610b4e09" /></Relationships>
</file>

<file path=word/_rels/footnotes.xml.rels><?xml version="1.0" encoding="UTF-8" standalone="yes"?>
<Relationships xmlns="http://schemas.openxmlformats.org/package/2006/relationships"><Relationship Id="rId2" Type="http://schemas.openxmlformats.org/officeDocument/2006/relationships/hyperlink" Target="http://www.grassland.org.nz/publications/nzgrassland_publication_394.pdf" TargetMode="External"/><Relationship Id="rId1" Type="http://schemas.openxmlformats.org/officeDocument/2006/relationships/hyperlink" Target="http://www.massey.ac.nz/~flrc/workshops/12/Manuscripts/Edmeades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A3889433</value>
    </field>
    <field name="Objective-Title">
      <value order="0">17-march-2017-a-bruere-landconnect-review-of-lake-rotorua-p-loss-info-24-feb-2016.docx</value>
    </field>
    <field name="Objective-Description">
      <value order="0"/>
    </field>
    <field name="Objective-CreationStamp">
      <value order="0">2021-07-28T00:43:39Z</value>
    </field>
    <field name="Objective-IsApproved">
      <value order="0">false</value>
    </field>
    <field name="Objective-IsPublished">
      <value order="0">true</value>
    </field>
    <field name="Objective-DatePublished">
      <value order="0">2021-07-28T00:43:39Z</value>
    </field>
    <field name="Objective-ModificationStamp">
      <value order="0">2021-07-28T00:43:39Z</value>
    </field>
    <field name="Objective-Owner">
      <value order="0">Chris Mahoney Administrator</value>
    </field>
    <field name="Objective-Path">
      <value order="0">EasyInfo Global Folder:'Virtual Filing Cabinet':Relationship Engagement:Communications Planning and Delivery:Communication Technology**:Content management system - Umbraco - Website Management (including BOPRC corporate site and Sam intranet site):Migrated Publications on Public Website *</value>
    </field>
    <field name="Objective-Parent">
      <value order="0">Migrated Publications on Public Website *</value>
    </field>
    <field name="Objective-State">
      <value order="0">Published</value>
    </field>
    <field name="Objective-VersionId">
      <value order="0">vA5881945</value>
    </field>
    <field name="Objective-Version">
      <value order="0">1.0</value>
    </field>
    <field name="Objective-VersionNumber">
      <value order="0">1</value>
    </field>
    <field name="Objective-VersionComment">
      <value order="0">First version</value>
    </field>
    <field name="Objective-FileNumber">
      <value order="0">5.01238</value>
    </field>
    <field name="Objective-Classification">
      <value order="0">Public Access</value>
    </field>
    <field name="Objective-Caveats">
      <value order="0"/>
    </field>
  </systemFields>
  <catalogues>
    <catalogue name="Backcapture / Migrated Type Catalogue" type="type" ori="id:cA9">
      <field name="Objective-Previous File Number">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F9A6-FEC5-432C-B53F-69F5EB64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Park</dc:creator>
  <cp:lastModifiedBy>Landconnect</cp:lastModifiedBy>
  <cp:revision>2</cp:revision>
  <cp:lastPrinted>2017-02-23T19:38:00Z</cp:lastPrinted>
  <dcterms:created xsi:type="dcterms:W3CDTF">2017-02-24T01:48:00Z</dcterms:created>
  <dcterms:modified xsi:type="dcterms:W3CDTF">2017-02-24T01:48:00Z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A3889433</vt:lpwstr>
  </property>
  <property fmtid="{D5CDD505-2E9C-101B-9397-08002B2CF9AE}" pid="4" name="Objective-Title">
    <vt:lpwstr>17-march-2017-a-bruere-landconnect-review-of-lake-rotorua-p-loss-info-24-feb-2016.docx</vt:lpwstr>
  </property>
  <property fmtid="{D5CDD505-2E9C-101B-9397-08002B2CF9AE}" pid="5" name="Objective-Description">
    <vt:lpwstr/>
  </property>
  <property fmtid="{D5CDD505-2E9C-101B-9397-08002B2CF9AE}" pid="6" name="Objective-CreationStamp">
    <vt:filetime>2021-07-28T00:43:39Z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2021-07-28T00:43:39Z</vt:filetime>
  </property>
  <property fmtid="{D5CDD505-2E9C-101B-9397-08002B2CF9AE}" pid="10" name="Objective-ModificationStamp">
    <vt:filetime>2021-07-28T00:43:39Z</vt:filetime>
  </property>
  <property fmtid="{D5CDD505-2E9C-101B-9397-08002B2CF9AE}" pid="11" name="Objective-Owner">
    <vt:lpwstr>Chris Mahoney Administrator</vt:lpwstr>
  </property>
  <property fmtid="{D5CDD505-2E9C-101B-9397-08002B2CF9AE}" pid="12" name="Objective-Path">
    <vt:lpwstr>EasyInfo Global Folder:'Virtual Filing Cabinet':Relationship Engagement:Communications Planning and Delivery:Communication Technology**:Content management system - Umbraco - Website Management (including BOPRC corporate site and Sam intranet site):Migrated Publications on Public Website *</vt:lpwstr>
  </property>
  <property fmtid="{D5CDD505-2E9C-101B-9397-08002B2CF9AE}" pid="13" name="Objective-Parent">
    <vt:lpwstr>Migrated Publications on Public Website *</vt:lpwstr>
  </property>
  <property fmtid="{D5CDD505-2E9C-101B-9397-08002B2CF9AE}" pid="14" name="Objective-State">
    <vt:lpwstr>Published</vt:lpwstr>
  </property>
  <property fmtid="{D5CDD505-2E9C-101B-9397-08002B2CF9AE}" pid="15" name="Objective-VersionId">
    <vt:lpwstr>vA5881945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5.01238</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Previous File Number">
    <vt:lpwstr/>
  </property>
  <property fmtid="{D5CDD505-2E9C-101B-9397-08002B2CF9AE}" pid="23" name="Objective-Accela Key">
    <vt:lpwstr/>
  </property>
</Properties>
</file>