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84b45b5a3c2467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303" w:rsidRDefault="00105303" w:rsidP="00CF681B">
      <w:pPr>
        <w:pStyle w:val="Default"/>
        <w:rPr>
          <w:rFonts w:asciiTheme="minorHAnsi" w:hAnsiTheme="minorHAnsi"/>
          <w:b/>
        </w:rPr>
      </w:pPr>
    </w:p>
    <w:p w:rsidR="00105303" w:rsidRDefault="00105303" w:rsidP="00CF681B">
      <w:pPr>
        <w:pStyle w:val="Default"/>
        <w:rPr>
          <w:rFonts w:asciiTheme="minorHAnsi" w:hAnsiTheme="minorHAnsi"/>
          <w:b/>
        </w:rPr>
      </w:pPr>
    </w:p>
    <w:p w:rsidR="00105303" w:rsidRDefault="00105303" w:rsidP="00CF681B">
      <w:pPr>
        <w:pStyle w:val="Default"/>
        <w:rPr>
          <w:rFonts w:asciiTheme="minorHAnsi" w:hAnsiTheme="minorHAnsi"/>
          <w:b/>
        </w:rPr>
      </w:pPr>
    </w:p>
    <w:p w:rsidR="00CF681B" w:rsidRPr="00477B2A" w:rsidRDefault="00477B2A" w:rsidP="00CF681B">
      <w:pPr>
        <w:pStyle w:val="Default"/>
        <w:rPr>
          <w:rFonts w:asciiTheme="minorHAnsi" w:hAnsiTheme="minorHAnsi"/>
        </w:rPr>
      </w:pPr>
      <w:r w:rsidRPr="00477B2A">
        <w:rPr>
          <w:rFonts w:asciiTheme="minorHAnsi" w:hAnsiTheme="minorHAnsi"/>
          <w:b/>
        </w:rPr>
        <w:t xml:space="preserve">In the </w:t>
      </w:r>
      <w:r>
        <w:rPr>
          <w:rFonts w:asciiTheme="minorHAnsi" w:hAnsiTheme="minorHAnsi"/>
          <w:b/>
        </w:rPr>
        <w:t>matter of</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rPr>
        <w:t>T</w:t>
      </w:r>
      <w:r w:rsidRPr="00477B2A">
        <w:rPr>
          <w:rFonts w:asciiTheme="minorHAnsi" w:hAnsiTheme="minorHAnsi"/>
        </w:rPr>
        <w:t>he Resource Management Act 1991</w:t>
      </w:r>
    </w:p>
    <w:p w:rsidR="00477B2A" w:rsidRPr="00477B2A" w:rsidRDefault="00477B2A" w:rsidP="00CF681B">
      <w:pPr>
        <w:pStyle w:val="Default"/>
        <w:rPr>
          <w:rFonts w:asciiTheme="minorHAnsi" w:hAnsiTheme="minorHAnsi"/>
        </w:rPr>
      </w:pPr>
    </w:p>
    <w:p w:rsidR="00477B2A" w:rsidRPr="00477B2A" w:rsidRDefault="00477B2A" w:rsidP="00CF681B">
      <w:pPr>
        <w:pStyle w:val="Default"/>
        <w:rPr>
          <w:rFonts w:asciiTheme="minorHAnsi" w:hAnsiTheme="minorHAnsi"/>
        </w:rPr>
      </w:pPr>
      <w:r w:rsidRPr="00477B2A">
        <w:rPr>
          <w:rFonts w:asciiTheme="minorHAnsi" w:hAnsiTheme="minorHAnsi"/>
        </w:rPr>
        <w:t>And</w:t>
      </w:r>
    </w:p>
    <w:p w:rsidR="00477B2A" w:rsidRPr="00477B2A" w:rsidRDefault="00477B2A" w:rsidP="00CF681B">
      <w:pPr>
        <w:pStyle w:val="Default"/>
        <w:rPr>
          <w:rFonts w:asciiTheme="minorHAnsi" w:hAnsiTheme="minorHAnsi"/>
        </w:rPr>
      </w:pPr>
    </w:p>
    <w:p w:rsidR="00477B2A" w:rsidRDefault="00477B2A" w:rsidP="00477B2A">
      <w:pPr>
        <w:pStyle w:val="Default"/>
        <w:ind w:left="3600" w:hanging="3600"/>
        <w:rPr>
          <w:rFonts w:asciiTheme="minorHAnsi" w:hAnsiTheme="minorHAnsi"/>
        </w:rPr>
      </w:pPr>
      <w:r w:rsidRPr="00477B2A">
        <w:rPr>
          <w:rFonts w:asciiTheme="minorHAnsi" w:hAnsiTheme="minorHAnsi"/>
          <w:b/>
        </w:rPr>
        <w:t>In the matter of</w:t>
      </w:r>
      <w:r w:rsidRPr="00477B2A">
        <w:rPr>
          <w:rFonts w:asciiTheme="minorHAnsi" w:hAnsiTheme="minorHAnsi"/>
          <w:b/>
        </w:rPr>
        <w:tab/>
      </w:r>
      <w:r>
        <w:rPr>
          <w:rFonts w:asciiTheme="minorHAnsi" w:hAnsiTheme="minorHAnsi"/>
        </w:rPr>
        <w:t>L</w:t>
      </w:r>
      <w:r w:rsidRPr="00477B2A">
        <w:rPr>
          <w:rFonts w:asciiTheme="minorHAnsi" w:hAnsiTheme="minorHAnsi"/>
        </w:rPr>
        <w:t xml:space="preserve">ake Rotorua Nutrient </w:t>
      </w:r>
      <w:r>
        <w:rPr>
          <w:rFonts w:asciiTheme="minorHAnsi" w:hAnsiTheme="minorHAnsi"/>
        </w:rPr>
        <w:t xml:space="preserve">Management </w:t>
      </w:r>
      <w:r>
        <w:rPr>
          <w:rFonts w:asciiTheme="minorHAnsi" w:hAnsiTheme="minorHAnsi"/>
          <w:b/>
        </w:rPr>
        <w:t xml:space="preserve">Proposed Plan Change 10 </w:t>
      </w:r>
      <w:r w:rsidRPr="00477B2A">
        <w:rPr>
          <w:rFonts w:asciiTheme="minorHAnsi" w:hAnsiTheme="minorHAnsi"/>
        </w:rPr>
        <w:t>to the Bay of Plenty Regional Water and Land Plan</w:t>
      </w:r>
    </w:p>
    <w:p w:rsidR="00477B2A" w:rsidRDefault="00477B2A" w:rsidP="00477B2A">
      <w:pPr>
        <w:pStyle w:val="Default"/>
        <w:pBdr>
          <w:bottom w:val="single" w:sz="6" w:space="1" w:color="auto"/>
        </w:pBdr>
        <w:ind w:left="3600" w:hanging="3600"/>
      </w:pPr>
    </w:p>
    <w:p w:rsidR="00105303" w:rsidRDefault="00105303" w:rsidP="00477B2A">
      <w:pPr>
        <w:pStyle w:val="Default"/>
        <w:pBdr>
          <w:bottom w:val="single" w:sz="6" w:space="1" w:color="auto"/>
        </w:pBdr>
        <w:ind w:left="3600" w:hanging="3600"/>
      </w:pPr>
    </w:p>
    <w:p w:rsidR="00105303" w:rsidRDefault="00105303" w:rsidP="00477B2A">
      <w:pPr>
        <w:pStyle w:val="Default"/>
        <w:pBdr>
          <w:bottom w:val="single" w:sz="6" w:space="1" w:color="auto"/>
        </w:pBdr>
        <w:ind w:left="3600" w:hanging="3600"/>
      </w:pPr>
    </w:p>
    <w:p w:rsidR="00477B2A" w:rsidRDefault="00477B2A" w:rsidP="00477B2A">
      <w:pPr>
        <w:pStyle w:val="Default"/>
        <w:ind w:left="3600" w:hanging="3600"/>
      </w:pPr>
      <w:bookmarkStart w:id="0" w:name="_GoBack"/>
      <w:bookmarkEnd w:id="0"/>
    </w:p>
    <w:p w:rsidR="00477B2A" w:rsidRDefault="00477B2A" w:rsidP="00477B2A">
      <w:pPr>
        <w:pStyle w:val="Default"/>
        <w:ind w:left="3600" w:hanging="3600"/>
        <w:jc w:val="center"/>
        <w:rPr>
          <w:rFonts w:ascii="Trebuchet MS" w:hAnsi="Trebuchet MS"/>
        </w:rPr>
      </w:pPr>
      <w:r w:rsidRPr="00477B2A">
        <w:rPr>
          <w:rFonts w:ascii="Trebuchet MS" w:hAnsi="Trebuchet MS"/>
        </w:rPr>
        <w:t xml:space="preserve">Statement of Evidence of </w:t>
      </w:r>
      <w:r w:rsidRPr="00477B2A">
        <w:rPr>
          <w:rFonts w:ascii="Trebuchet MS" w:hAnsi="Trebuchet MS"/>
          <w:b/>
        </w:rPr>
        <w:t>C</w:t>
      </w:r>
      <w:r w:rsidR="003B0672">
        <w:rPr>
          <w:rFonts w:ascii="Trebuchet MS" w:hAnsi="Trebuchet MS"/>
          <w:b/>
        </w:rPr>
        <w:t xml:space="preserve">olin </w:t>
      </w:r>
      <w:r w:rsidR="00A04F0B">
        <w:rPr>
          <w:rFonts w:ascii="Trebuchet MS" w:hAnsi="Trebuchet MS"/>
          <w:b/>
        </w:rPr>
        <w:t xml:space="preserve">William </w:t>
      </w:r>
      <w:r w:rsidR="003B0672">
        <w:rPr>
          <w:rFonts w:ascii="Trebuchet MS" w:hAnsi="Trebuchet MS"/>
          <w:b/>
        </w:rPr>
        <w:t>Maunder</w:t>
      </w:r>
    </w:p>
    <w:p w:rsidR="00D5236F" w:rsidRDefault="00477B2A" w:rsidP="00477B2A">
      <w:pPr>
        <w:pStyle w:val="Default"/>
        <w:ind w:left="3600" w:hanging="3600"/>
        <w:jc w:val="center"/>
        <w:rPr>
          <w:rFonts w:ascii="Trebuchet MS" w:hAnsi="Trebuchet MS"/>
        </w:rPr>
      </w:pPr>
      <w:proofErr w:type="gramStart"/>
      <w:r w:rsidRPr="00477B2A">
        <w:rPr>
          <w:rFonts w:ascii="Trebuchet MS" w:hAnsi="Trebuchet MS"/>
        </w:rPr>
        <w:t>for</w:t>
      </w:r>
      <w:proofErr w:type="gramEnd"/>
      <w:r w:rsidRPr="00477B2A">
        <w:rPr>
          <w:rFonts w:ascii="Trebuchet MS" w:hAnsi="Trebuchet MS"/>
        </w:rPr>
        <w:t xml:space="preserve"> </w:t>
      </w:r>
    </w:p>
    <w:p w:rsidR="00477B2A" w:rsidRPr="00477B2A" w:rsidRDefault="003B0672" w:rsidP="00477B2A">
      <w:pPr>
        <w:pStyle w:val="Default"/>
        <w:ind w:left="3600" w:hanging="3600"/>
        <w:jc w:val="center"/>
        <w:rPr>
          <w:rFonts w:ascii="Trebuchet MS" w:hAnsi="Trebuchet MS"/>
        </w:rPr>
      </w:pPr>
      <w:r>
        <w:rPr>
          <w:rFonts w:ascii="Trebuchet MS" w:hAnsi="Trebuchet MS"/>
        </w:rPr>
        <w:t>Timberlands</w:t>
      </w:r>
      <w:r w:rsidR="00477B2A" w:rsidRPr="00477B2A">
        <w:rPr>
          <w:rFonts w:ascii="Trebuchet MS" w:hAnsi="Trebuchet MS"/>
        </w:rPr>
        <w:t xml:space="preserve"> Limited</w:t>
      </w:r>
      <w:r w:rsidR="00AC3EF6">
        <w:rPr>
          <w:rFonts w:ascii="Trebuchet MS" w:hAnsi="Trebuchet MS"/>
        </w:rPr>
        <w:t xml:space="preserve"> </w:t>
      </w:r>
    </w:p>
    <w:p w:rsidR="00477B2A" w:rsidRDefault="00477B2A" w:rsidP="00477B2A">
      <w:pPr>
        <w:pStyle w:val="Default"/>
        <w:pBdr>
          <w:bottom w:val="single" w:sz="6" w:space="1" w:color="auto"/>
        </w:pBdr>
        <w:ind w:left="3600" w:hanging="3600"/>
      </w:pPr>
    </w:p>
    <w:p w:rsidR="00477B2A" w:rsidRDefault="00477B2A" w:rsidP="00477B2A">
      <w:pPr>
        <w:pStyle w:val="Default"/>
        <w:ind w:left="3600" w:hanging="3600"/>
      </w:pPr>
    </w:p>
    <w:p w:rsidR="00105303" w:rsidRDefault="00105303" w:rsidP="00477B2A">
      <w:pPr>
        <w:pStyle w:val="Default"/>
        <w:ind w:left="3600" w:hanging="3600"/>
      </w:pPr>
    </w:p>
    <w:p w:rsidR="00105303" w:rsidRDefault="00105303" w:rsidP="00477B2A">
      <w:pPr>
        <w:pStyle w:val="Default"/>
        <w:ind w:left="3600" w:hanging="3600"/>
      </w:pPr>
    </w:p>
    <w:p w:rsidR="00105303" w:rsidRDefault="00105303" w:rsidP="00477B2A">
      <w:pPr>
        <w:pStyle w:val="Default"/>
        <w:ind w:left="3600" w:hanging="3600"/>
      </w:pPr>
    </w:p>
    <w:p w:rsidR="00105303" w:rsidRPr="00477B2A" w:rsidRDefault="00105303" w:rsidP="00477B2A">
      <w:pPr>
        <w:pStyle w:val="Default"/>
        <w:ind w:left="3600" w:hanging="3600"/>
      </w:pPr>
    </w:p>
    <w:sdt>
      <w:sdtPr>
        <w:rPr>
          <w:rFonts w:asciiTheme="minorHAnsi" w:eastAsiaTheme="minorHAnsi" w:hAnsiTheme="minorHAnsi" w:cstheme="minorBidi"/>
          <w:color w:val="auto"/>
          <w:sz w:val="22"/>
          <w:szCs w:val="22"/>
          <w:lang w:val="en-NZ"/>
        </w:rPr>
        <w:id w:val="136769247"/>
        <w:docPartObj>
          <w:docPartGallery w:val="Table of Contents"/>
          <w:docPartUnique/>
        </w:docPartObj>
      </w:sdtPr>
      <w:sdtEndPr>
        <w:rPr>
          <w:b/>
          <w:bCs/>
          <w:noProof/>
        </w:rPr>
      </w:sdtEndPr>
      <w:sdtContent>
        <w:p w:rsidR="00477B2A" w:rsidRDefault="00477B2A" w:rsidP="00477B2A">
          <w:pPr>
            <w:pStyle w:val="TOCHeading"/>
          </w:pPr>
          <w:r>
            <w:t>Contents</w:t>
          </w:r>
        </w:p>
        <w:p w:rsidR="00665E6E" w:rsidRDefault="00477B2A">
          <w:pPr>
            <w:pStyle w:val="TOC1"/>
            <w:tabs>
              <w:tab w:val="right" w:leader="dot" w:pos="9736"/>
            </w:tabs>
            <w:rPr>
              <w:rFonts w:eastAsiaTheme="minorEastAsia"/>
              <w:noProof/>
              <w:lang w:eastAsia="en-NZ"/>
            </w:rPr>
          </w:pPr>
          <w:r>
            <w:fldChar w:fldCharType="begin"/>
          </w:r>
          <w:r>
            <w:instrText xml:space="preserve"> TOC \o "1-3" \h \z \u </w:instrText>
          </w:r>
          <w:r>
            <w:fldChar w:fldCharType="separate"/>
          </w:r>
          <w:hyperlink w:anchor="_Toc476575935" w:history="1">
            <w:r w:rsidR="00665E6E" w:rsidRPr="00854B77">
              <w:rPr>
                <w:rStyle w:val="Hyperlink"/>
                <w:b/>
                <w:noProof/>
              </w:rPr>
              <w:t>Timberlands role in the Lake Rotorua Catchment</w:t>
            </w:r>
            <w:r w:rsidR="00665E6E">
              <w:rPr>
                <w:noProof/>
                <w:webHidden/>
              </w:rPr>
              <w:tab/>
            </w:r>
            <w:r w:rsidR="00665E6E">
              <w:rPr>
                <w:noProof/>
                <w:webHidden/>
              </w:rPr>
              <w:fldChar w:fldCharType="begin"/>
            </w:r>
            <w:r w:rsidR="00665E6E">
              <w:rPr>
                <w:noProof/>
                <w:webHidden/>
              </w:rPr>
              <w:instrText xml:space="preserve"> PAGEREF _Toc476575935 \h </w:instrText>
            </w:r>
            <w:r w:rsidR="00665E6E">
              <w:rPr>
                <w:noProof/>
                <w:webHidden/>
              </w:rPr>
            </w:r>
            <w:r w:rsidR="00665E6E">
              <w:rPr>
                <w:noProof/>
                <w:webHidden/>
              </w:rPr>
              <w:fldChar w:fldCharType="separate"/>
            </w:r>
            <w:r w:rsidR="00665E6E">
              <w:rPr>
                <w:noProof/>
                <w:webHidden/>
              </w:rPr>
              <w:t>2</w:t>
            </w:r>
            <w:r w:rsidR="00665E6E">
              <w:rPr>
                <w:noProof/>
                <w:webHidden/>
              </w:rPr>
              <w:fldChar w:fldCharType="end"/>
            </w:r>
          </w:hyperlink>
        </w:p>
        <w:p w:rsidR="00665E6E" w:rsidRDefault="00C00BBD">
          <w:pPr>
            <w:pStyle w:val="TOC1"/>
            <w:tabs>
              <w:tab w:val="right" w:leader="dot" w:pos="9736"/>
            </w:tabs>
            <w:rPr>
              <w:rFonts w:eastAsiaTheme="minorEastAsia"/>
              <w:noProof/>
              <w:lang w:eastAsia="en-NZ"/>
            </w:rPr>
          </w:pPr>
          <w:hyperlink w:anchor="_Toc476575936" w:history="1">
            <w:r w:rsidR="00665E6E" w:rsidRPr="00854B77">
              <w:rPr>
                <w:rStyle w:val="Hyperlink"/>
                <w:b/>
                <w:noProof/>
              </w:rPr>
              <w:t>Collaborative policy development process</w:t>
            </w:r>
            <w:r w:rsidR="00665E6E">
              <w:rPr>
                <w:noProof/>
                <w:webHidden/>
              </w:rPr>
              <w:tab/>
            </w:r>
            <w:r w:rsidR="00665E6E">
              <w:rPr>
                <w:noProof/>
                <w:webHidden/>
              </w:rPr>
              <w:fldChar w:fldCharType="begin"/>
            </w:r>
            <w:r w:rsidR="00665E6E">
              <w:rPr>
                <w:noProof/>
                <w:webHidden/>
              </w:rPr>
              <w:instrText xml:space="preserve"> PAGEREF _Toc476575936 \h </w:instrText>
            </w:r>
            <w:r w:rsidR="00665E6E">
              <w:rPr>
                <w:noProof/>
                <w:webHidden/>
              </w:rPr>
            </w:r>
            <w:r w:rsidR="00665E6E">
              <w:rPr>
                <w:noProof/>
                <w:webHidden/>
              </w:rPr>
              <w:fldChar w:fldCharType="separate"/>
            </w:r>
            <w:r w:rsidR="00665E6E">
              <w:rPr>
                <w:noProof/>
                <w:webHidden/>
              </w:rPr>
              <w:t>2</w:t>
            </w:r>
            <w:r w:rsidR="00665E6E">
              <w:rPr>
                <w:noProof/>
                <w:webHidden/>
              </w:rPr>
              <w:fldChar w:fldCharType="end"/>
            </w:r>
          </w:hyperlink>
        </w:p>
        <w:p w:rsidR="00665E6E" w:rsidRDefault="00C00BBD">
          <w:pPr>
            <w:pStyle w:val="TOC3"/>
            <w:tabs>
              <w:tab w:val="right" w:leader="dot" w:pos="9736"/>
            </w:tabs>
            <w:rPr>
              <w:rFonts w:eastAsiaTheme="minorEastAsia"/>
              <w:noProof/>
              <w:lang w:eastAsia="en-NZ"/>
            </w:rPr>
          </w:pPr>
          <w:hyperlink w:anchor="_Toc476575937" w:history="1">
            <w:r w:rsidR="00665E6E" w:rsidRPr="00854B77">
              <w:rPr>
                <w:rStyle w:val="Hyperlink"/>
                <w:noProof/>
              </w:rPr>
              <w:t>Effects of lack of understanding of forestry</w:t>
            </w:r>
            <w:r w:rsidR="00665E6E">
              <w:rPr>
                <w:noProof/>
                <w:webHidden/>
              </w:rPr>
              <w:tab/>
            </w:r>
            <w:r w:rsidR="00665E6E">
              <w:rPr>
                <w:noProof/>
                <w:webHidden/>
              </w:rPr>
              <w:fldChar w:fldCharType="begin"/>
            </w:r>
            <w:r w:rsidR="00665E6E">
              <w:rPr>
                <w:noProof/>
                <w:webHidden/>
              </w:rPr>
              <w:instrText xml:space="preserve"> PAGEREF _Toc476575937 \h </w:instrText>
            </w:r>
            <w:r w:rsidR="00665E6E">
              <w:rPr>
                <w:noProof/>
                <w:webHidden/>
              </w:rPr>
            </w:r>
            <w:r w:rsidR="00665E6E">
              <w:rPr>
                <w:noProof/>
                <w:webHidden/>
              </w:rPr>
              <w:fldChar w:fldCharType="separate"/>
            </w:r>
            <w:r w:rsidR="00665E6E">
              <w:rPr>
                <w:noProof/>
                <w:webHidden/>
              </w:rPr>
              <w:t>4</w:t>
            </w:r>
            <w:r w:rsidR="00665E6E">
              <w:rPr>
                <w:noProof/>
                <w:webHidden/>
              </w:rPr>
              <w:fldChar w:fldCharType="end"/>
            </w:r>
          </w:hyperlink>
        </w:p>
        <w:p w:rsidR="00665E6E" w:rsidRDefault="00C00BBD">
          <w:pPr>
            <w:pStyle w:val="TOC1"/>
            <w:tabs>
              <w:tab w:val="right" w:leader="dot" w:pos="9736"/>
            </w:tabs>
            <w:rPr>
              <w:rFonts w:eastAsiaTheme="minorEastAsia"/>
              <w:noProof/>
              <w:lang w:eastAsia="en-NZ"/>
            </w:rPr>
          </w:pPr>
          <w:hyperlink w:anchor="_Toc476575938" w:history="1">
            <w:r w:rsidR="00665E6E" w:rsidRPr="00854B77">
              <w:rPr>
                <w:rStyle w:val="Hyperlink"/>
                <w:b/>
                <w:noProof/>
              </w:rPr>
              <w:t>Policy Framework</w:t>
            </w:r>
            <w:r w:rsidR="00665E6E">
              <w:rPr>
                <w:noProof/>
                <w:webHidden/>
              </w:rPr>
              <w:tab/>
            </w:r>
            <w:r w:rsidR="00665E6E">
              <w:rPr>
                <w:noProof/>
                <w:webHidden/>
              </w:rPr>
              <w:fldChar w:fldCharType="begin"/>
            </w:r>
            <w:r w:rsidR="00665E6E">
              <w:rPr>
                <w:noProof/>
                <w:webHidden/>
              </w:rPr>
              <w:instrText xml:space="preserve"> PAGEREF _Toc476575938 \h </w:instrText>
            </w:r>
            <w:r w:rsidR="00665E6E">
              <w:rPr>
                <w:noProof/>
                <w:webHidden/>
              </w:rPr>
            </w:r>
            <w:r w:rsidR="00665E6E">
              <w:rPr>
                <w:noProof/>
                <w:webHidden/>
              </w:rPr>
              <w:fldChar w:fldCharType="separate"/>
            </w:r>
            <w:r w:rsidR="00665E6E">
              <w:rPr>
                <w:noProof/>
                <w:webHidden/>
              </w:rPr>
              <w:t>5</w:t>
            </w:r>
            <w:r w:rsidR="00665E6E">
              <w:rPr>
                <w:noProof/>
                <w:webHidden/>
              </w:rPr>
              <w:fldChar w:fldCharType="end"/>
            </w:r>
          </w:hyperlink>
        </w:p>
        <w:p w:rsidR="00665E6E" w:rsidRDefault="00C00BBD">
          <w:pPr>
            <w:pStyle w:val="TOC3"/>
            <w:tabs>
              <w:tab w:val="right" w:leader="dot" w:pos="9736"/>
            </w:tabs>
            <w:rPr>
              <w:rFonts w:eastAsiaTheme="minorEastAsia"/>
              <w:noProof/>
              <w:lang w:eastAsia="en-NZ"/>
            </w:rPr>
          </w:pPr>
          <w:hyperlink w:anchor="_Toc476575939" w:history="1">
            <w:r w:rsidR="00665E6E" w:rsidRPr="00854B77">
              <w:rPr>
                <w:rStyle w:val="Hyperlink"/>
                <w:noProof/>
                <w:lang w:eastAsia="en-NZ"/>
              </w:rPr>
              <w:t>A charge regime for Lake Rotorua</w:t>
            </w:r>
            <w:r w:rsidR="00665E6E">
              <w:rPr>
                <w:noProof/>
                <w:webHidden/>
              </w:rPr>
              <w:tab/>
            </w:r>
            <w:r w:rsidR="00665E6E">
              <w:rPr>
                <w:noProof/>
                <w:webHidden/>
              </w:rPr>
              <w:fldChar w:fldCharType="begin"/>
            </w:r>
            <w:r w:rsidR="00665E6E">
              <w:rPr>
                <w:noProof/>
                <w:webHidden/>
              </w:rPr>
              <w:instrText xml:space="preserve"> PAGEREF _Toc476575939 \h </w:instrText>
            </w:r>
            <w:r w:rsidR="00665E6E">
              <w:rPr>
                <w:noProof/>
                <w:webHidden/>
              </w:rPr>
            </w:r>
            <w:r w:rsidR="00665E6E">
              <w:rPr>
                <w:noProof/>
                <w:webHidden/>
              </w:rPr>
              <w:fldChar w:fldCharType="separate"/>
            </w:r>
            <w:r w:rsidR="00665E6E">
              <w:rPr>
                <w:noProof/>
                <w:webHidden/>
              </w:rPr>
              <w:t>7</w:t>
            </w:r>
            <w:r w:rsidR="00665E6E">
              <w:rPr>
                <w:noProof/>
                <w:webHidden/>
              </w:rPr>
              <w:fldChar w:fldCharType="end"/>
            </w:r>
          </w:hyperlink>
        </w:p>
        <w:p w:rsidR="00665E6E" w:rsidRDefault="00C00BBD">
          <w:pPr>
            <w:pStyle w:val="TOC3"/>
            <w:tabs>
              <w:tab w:val="right" w:leader="dot" w:pos="9736"/>
            </w:tabs>
            <w:rPr>
              <w:rFonts w:eastAsiaTheme="minorEastAsia"/>
              <w:noProof/>
              <w:lang w:eastAsia="en-NZ"/>
            </w:rPr>
          </w:pPr>
          <w:hyperlink w:anchor="_Toc476575940" w:history="1">
            <w:r w:rsidR="00665E6E" w:rsidRPr="00854B77">
              <w:rPr>
                <w:rStyle w:val="Hyperlink"/>
                <w:noProof/>
              </w:rPr>
              <w:t>Specifics of the Plan Change 10 existing rule framework</w:t>
            </w:r>
            <w:r w:rsidR="00665E6E">
              <w:rPr>
                <w:noProof/>
                <w:webHidden/>
              </w:rPr>
              <w:tab/>
            </w:r>
            <w:r w:rsidR="00665E6E">
              <w:rPr>
                <w:noProof/>
                <w:webHidden/>
              </w:rPr>
              <w:fldChar w:fldCharType="begin"/>
            </w:r>
            <w:r w:rsidR="00665E6E">
              <w:rPr>
                <w:noProof/>
                <w:webHidden/>
              </w:rPr>
              <w:instrText xml:space="preserve"> PAGEREF _Toc476575940 \h </w:instrText>
            </w:r>
            <w:r w:rsidR="00665E6E">
              <w:rPr>
                <w:noProof/>
                <w:webHidden/>
              </w:rPr>
            </w:r>
            <w:r w:rsidR="00665E6E">
              <w:rPr>
                <w:noProof/>
                <w:webHidden/>
              </w:rPr>
              <w:fldChar w:fldCharType="separate"/>
            </w:r>
            <w:r w:rsidR="00665E6E">
              <w:rPr>
                <w:noProof/>
                <w:webHidden/>
              </w:rPr>
              <w:t>9</w:t>
            </w:r>
            <w:r w:rsidR="00665E6E">
              <w:rPr>
                <w:noProof/>
                <w:webHidden/>
              </w:rPr>
              <w:fldChar w:fldCharType="end"/>
            </w:r>
          </w:hyperlink>
        </w:p>
        <w:p w:rsidR="00665E6E" w:rsidRDefault="00C00BBD">
          <w:pPr>
            <w:pStyle w:val="TOC1"/>
            <w:tabs>
              <w:tab w:val="right" w:leader="dot" w:pos="9736"/>
            </w:tabs>
            <w:rPr>
              <w:rFonts w:eastAsiaTheme="minorEastAsia"/>
              <w:noProof/>
              <w:lang w:eastAsia="en-NZ"/>
            </w:rPr>
          </w:pPr>
          <w:hyperlink w:anchor="_Toc476575941" w:history="1">
            <w:r w:rsidR="00665E6E" w:rsidRPr="00854B77">
              <w:rPr>
                <w:rStyle w:val="Hyperlink"/>
                <w:b/>
                <w:noProof/>
              </w:rPr>
              <w:t>Use of the Overseer model</w:t>
            </w:r>
            <w:r w:rsidR="00665E6E">
              <w:rPr>
                <w:noProof/>
                <w:webHidden/>
              </w:rPr>
              <w:tab/>
            </w:r>
            <w:r w:rsidR="00665E6E">
              <w:rPr>
                <w:noProof/>
                <w:webHidden/>
              </w:rPr>
              <w:fldChar w:fldCharType="begin"/>
            </w:r>
            <w:r w:rsidR="00665E6E">
              <w:rPr>
                <w:noProof/>
                <w:webHidden/>
              </w:rPr>
              <w:instrText xml:space="preserve"> PAGEREF _Toc476575941 \h </w:instrText>
            </w:r>
            <w:r w:rsidR="00665E6E">
              <w:rPr>
                <w:noProof/>
                <w:webHidden/>
              </w:rPr>
            </w:r>
            <w:r w:rsidR="00665E6E">
              <w:rPr>
                <w:noProof/>
                <w:webHidden/>
              </w:rPr>
              <w:fldChar w:fldCharType="separate"/>
            </w:r>
            <w:r w:rsidR="00665E6E">
              <w:rPr>
                <w:noProof/>
                <w:webHidden/>
              </w:rPr>
              <w:t>9</w:t>
            </w:r>
            <w:r w:rsidR="00665E6E">
              <w:rPr>
                <w:noProof/>
                <w:webHidden/>
              </w:rPr>
              <w:fldChar w:fldCharType="end"/>
            </w:r>
          </w:hyperlink>
        </w:p>
        <w:p w:rsidR="00665E6E" w:rsidRDefault="00C00BBD">
          <w:pPr>
            <w:pStyle w:val="TOC1"/>
            <w:tabs>
              <w:tab w:val="right" w:leader="dot" w:pos="9736"/>
            </w:tabs>
            <w:rPr>
              <w:rFonts w:eastAsiaTheme="minorEastAsia"/>
              <w:noProof/>
              <w:lang w:eastAsia="en-NZ"/>
            </w:rPr>
          </w:pPr>
          <w:hyperlink w:anchor="_Toc476575942" w:history="1">
            <w:r w:rsidR="00665E6E" w:rsidRPr="00854B77">
              <w:rPr>
                <w:rStyle w:val="Hyperlink"/>
                <w:b/>
                <w:noProof/>
              </w:rPr>
              <w:t>Plan effectiveness and efficiency assessment against criteria</w:t>
            </w:r>
            <w:r w:rsidR="00665E6E">
              <w:rPr>
                <w:noProof/>
                <w:webHidden/>
              </w:rPr>
              <w:tab/>
            </w:r>
            <w:r w:rsidR="00665E6E">
              <w:rPr>
                <w:noProof/>
                <w:webHidden/>
              </w:rPr>
              <w:fldChar w:fldCharType="begin"/>
            </w:r>
            <w:r w:rsidR="00665E6E">
              <w:rPr>
                <w:noProof/>
                <w:webHidden/>
              </w:rPr>
              <w:instrText xml:space="preserve"> PAGEREF _Toc476575942 \h </w:instrText>
            </w:r>
            <w:r w:rsidR="00665E6E">
              <w:rPr>
                <w:noProof/>
                <w:webHidden/>
              </w:rPr>
            </w:r>
            <w:r w:rsidR="00665E6E">
              <w:rPr>
                <w:noProof/>
                <w:webHidden/>
              </w:rPr>
              <w:fldChar w:fldCharType="separate"/>
            </w:r>
            <w:r w:rsidR="00665E6E">
              <w:rPr>
                <w:noProof/>
                <w:webHidden/>
              </w:rPr>
              <w:t>10</w:t>
            </w:r>
            <w:r w:rsidR="00665E6E">
              <w:rPr>
                <w:noProof/>
                <w:webHidden/>
              </w:rPr>
              <w:fldChar w:fldCharType="end"/>
            </w:r>
          </w:hyperlink>
        </w:p>
        <w:p w:rsidR="00665E6E" w:rsidRDefault="00C00BBD">
          <w:pPr>
            <w:pStyle w:val="TOC3"/>
            <w:tabs>
              <w:tab w:val="right" w:leader="dot" w:pos="9736"/>
            </w:tabs>
            <w:rPr>
              <w:rFonts w:eastAsiaTheme="minorEastAsia"/>
              <w:noProof/>
              <w:lang w:eastAsia="en-NZ"/>
            </w:rPr>
          </w:pPr>
          <w:hyperlink w:anchor="_Toc476575943" w:history="1">
            <w:r w:rsidR="00665E6E" w:rsidRPr="00854B77">
              <w:rPr>
                <w:rStyle w:val="Hyperlink"/>
                <w:noProof/>
                <w:lang w:eastAsia="en-NZ"/>
              </w:rPr>
              <w:t>Annex A E</w:t>
            </w:r>
            <w:r w:rsidR="00665E6E" w:rsidRPr="00854B77">
              <w:rPr>
                <w:rStyle w:val="Hyperlink"/>
                <w:noProof/>
              </w:rPr>
              <w:t>conomic and environmental indicators for a representative forest and dairy farm in the Central North Island.</w:t>
            </w:r>
            <w:r w:rsidR="00665E6E">
              <w:rPr>
                <w:noProof/>
                <w:webHidden/>
              </w:rPr>
              <w:tab/>
            </w:r>
            <w:r w:rsidR="00665E6E">
              <w:rPr>
                <w:noProof/>
                <w:webHidden/>
              </w:rPr>
              <w:fldChar w:fldCharType="begin"/>
            </w:r>
            <w:r w:rsidR="00665E6E">
              <w:rPr>
                <w:noProof/>
                <w:webHidden/>
              </w:rPr>
              <w:instrText xml:space="preserve"> PAGEREF _Toc476575943 \h </w:instrText>
            </w:r>
            <w:r w:rsidR="00665E6E">
              <w:rPr>
                <w:noProof/>
                <w:webHidden/>
              </w:rPr>
            </w:r>
            <w:r w:rsidR="00665E6E">
              <w:rPr>
                <w:noProof/>
                <w:webHidden/>
              </w:rPr>
              <w:fldChar w:fldCharType="separate"/>
            </w:r>
            <w:r w:rsidR="00665E6E">
              <w:rPr>
                <w:noProof/>
                <w:webHidden/>
              </w:rPr>
              <w:t>14</w:t>
            </w:r>
            <w:r w:rsidR="00665E6E">
              <w:rPr>
                <w:noProof/>
                <w:webHidden/>
              </w:rPr>
              <w:fldChar w:fldCharType="end"/>
            </w:r>
          </w:hyperlink>
        </w:p>
        <w:p w:rsidR="00477B2A" w:rsidRDefault="00477B2A" w:rsidP="00477B2A">
          <w:r>
            <w:rPr>
              <w:b/>
              <w:bCs/>
              <w:noProof/>
            </w:rPr>
            <w:fldChar w:fldCharType="end"/>
          </w:r>
        </w:p>
      </w:sdtContent>
    </w:sdt>
    <w:p w:rsidR="00D5236F" w:rsidRDefault="00D5236F">
      <w:pPr>
        <w:rPr>
          <w:rFonts w:cs="Arial"/>
          <w:b/>
          <w:bCs/>
          <w:color w:val="000000"/>
        </w:rPr>
      </w:pPr>
      <w:r>
        <w:rPr>
          <w:b/>
          <w:bCs/>
        </w:rPr>
        <w:br w:type="page"/>
      </w:r>
    </w:p>
    <w:p w:rsidR="00CF681B" w:rsidRPr="00DA78A6" w:rsidRDefault="00CF681B" w:rsidP="00CF681B">
      <w:pPr>
        <w:pStyle w:val="Default"/>
        <w:rPr>
          <w:rFonts w:asciiTheme="minorHAnsi" w:hAnsiTheme="minorHAnsi"/>
          <w:sz w:val="22"/>
          <w:szCs w:val="22"/>
        </w:rPr>
      </w:pPr>
      <w:r w:rsidRPr="00DA78A6">
        <w:rPr>
          <w:rFonts w:asciiTheme="minorHAnsi" w:hAnsiTheme="minorHAnsi"/>
          <w:b/>
          <w:bCs/>
          <w:sz w:val="22"/>
          <w:szCs w:val="22"/>
        </w:rPr>
        <w:lastRenderedPageBreak/>
        <w:t xml:space="preserve">Qualifications and experience </w:t>
      </w:r>
    </w:p>
    <w:p w:rsidR="00DA78A6" w:rsidRDefault="00DA78A6" w:rsidP="00C15ABB">
      <w:pPr>
        <w:pStyle w:val="Default"/>
        <w:ind w:left="-360"/>
        <w:rPr>
          <w:rFonts w:asciiTheme="minorHAnsi" w:hAnsiTheme="minorHAnsi"/>
          <w:sz w:val="22"/>
          <w:szCs w:val="22"/>
        </w:rPr>
      </w:pPr>
    </w:p>
    <w:p w:rsidR="00F8173A" w:rsidRDefault="00F8173A" w:rsidP="00F8173A">
      <w:pPr>
        <w:pStyle w:val="Default"/>
        <w:numPr>
          <w:ilvl w:val="0"/>
          <w:numId w:val="28"/>
        </w:numPr>
        <w:ind w:left="360"/>
        <w:rPr>
          <w:rFonts w:ascii="Calibri" w:hAnsi="Calibri"/>
          <w:sz w:val="22"/>
          <w:szCs w:val="22"/>
        </w:rPr>
      </w:pPr>
      <w:r>
        <w:rPr>
          <w:rFonts w:ascii="Calibri" w:hAnsi="Calibri"/>
          <w:sz w:val="22"/>
          <w:szCs w:val="22"/>
        </w:rPr>
        <w:t xml:space="preserve">My full name is Colin William Maunder.  I am the Forest Risk Manager for Timberlands Limited, which includes responsibility for environment, health and safety, fire, security and community relations.  </w:t>
      </w:r>
    </w:p>
    <w:p w:rsidR="00F8173A" w:rsidRDefault="00F8173A" w:rsidP="00F8173A">
      <w:pPr>
        <w:pStyle w:val="Default"/>
        <w:ind w:firstLine="48"/>
        <w:rPr>
          <w:rFonts w:ascii="Calibri" w:hAnsi="Calibri"/>
          <w:sz w:val="22"/>
          <w:szCs w:val="22"/>
        </w:rPr>
      </w:pPr>
    </w:p>
    <w:p w:rsidR="00F8173A" w:rsidRDefault="00F8173A" w:rsidP="00F8173A">
      <w:pPr>
        <w:pStyle w:val="Default"/>
        <w:numPr>
          <w:ilvl w:val="0"/>
          <w:numId w:val="28"/>
        </w:numPr>
        <w:ind w:left="360"/>
        <w:rPr>
          <w:rFonts w:ascii="Calibri" w:hAnsi="Calibri"/>
          <w:sz w:val="22"/>
          <w:szCs w:val="22"/>
        </w:rPr>
      </w:pPr>
      <w:r>
        <w:rPr>
          <w:rFonts w:ascii="Calibri" w:hAnsi="Calibri"/>
          <w:sz w:val="22"/>
          <w:szCs w:val="22"/>
        </w:rPr>
        <w:t xml:space="preserve">My qualifications are </w:t>
      </w:r>
      <w:proofErr w:type="spellStart"/>
      <w:r>
        <w:rPr>
          <w:rFonts w:ascii="Calibri" w:hAnsi="Calibri"/>
          <w:sz w:val="22"/>
          <w:szCs w:val="22"/>
        </w:rPr>
        <w:t>BForSc</w:t>
      </w:r>
      <w:proofErr w:type="spellEnd"/>
      <w:r>
        <w:rPr>
          <w:rFonts w:ascii="Calibri" w:hAnsi="Calibri"/>
          <w:sz w:val="22"/>
          <w:szCs w:val="22"/>
        </w:rPr>
        <w:t xml:space="preserve"> and MSc. in Environmental Sciences, both from Canterbury University.  I have worked in the forest industry for nearly 30 years primarily in the Central North Island.  While I am experienced in most aspects of plantation forest management for much of my career I have specifically worked in environmental realm.  This has included RMA matters, (FSC) certification and compliance.  </w:t>
      </w:r>
    </w:p>
    <w:p w:rsidR="00F8173A" w:rsidRDefault="00F8173A" w:rsidP="00C15ABB">
      <w:pPr>
        <w:pStyle w:val="Default"/>
        <w:ind w:left="-360"/>
        <w:rPr>
          <w:rFonts w:asciiTheme="minorHAnsi" w:hAnsiTheme="minorHAnsi"/>
          <w:b/>
          <w:bCs/>
          <w:sz w:val="22"/>
          <w:szCs w:val="22"/>
        </w:rPr>
      </w:pPr>
    </w:p>
    <w:p w:rsidR="00CF681B" w:rsidRPr="00DA78A6" w:rsidRDefault="00CF681B" w:rsidP="00C15ABB">
      <w:pPr>
        <w:pStyle w:val="Default"/>
        <w:rPr>
          <w:rFonts w:asciiTheme="minorHAnsi" w:hAnsiTheme="minorHAnsi"/>
          <w:sz w:val="22"/>
          <w:szCs w:val="22"/>
        </w:rPr>
      </w:pPr>
      <w:r w:rsidRPr="00DA78A6">
        <w:rPr>
          <w:rFonts w:asciiTheme="minorHAnsi" w:hAnsiTheme="minorHAnsi"/>
          <w:b/>
          <w:bCs/>
          <w:sz w:val="22"/>
          <w:szCs w:val="22"/>
        </w:rPr>
        <w:t xml:space="preserve">Scope of Evidence and Summary </w:t>
      </w:r>
    </w:p>
    <w:p w:rsidR="00CF681B" w:rsidRPr="00DA78A6" w:rsidRDefault="00CF681B" w:rsidP="00F8173A">
      <w:pPr>
        <w:pStyle w:val="Default"/>
        <w:numPr>
          <w:ilvl w:val="0"/>
          <w:numId w:val="28"/>
        </w:numPr>
        <w:rPr>
          <w:rFonts w:asciiTheme="minorHAnsi" w:hAnsiTheme="minorHAnsi"/>
          <w:sz w:val="22"/>
          <w:szCs w:val="22"/>
        </w:rPr>
      </w:pPr>
      <w:r w:rsidRPr="00DA78A6">
        <w:rPr>
          <w:rFonts w:asciiTheme="minorHAnsi" w:hAnsiTheme="minorHAnsi"/>
          <w:sz w:val="22"/>
          <w:szCs w:val="22"/>
        </w:rPr>
        <w:t xml:space="preserve">The scope of my evidence concerns </w:t>
      </w:r>
      <w:r w:rsidR="00665E6E">
        <w:rPr>
          <w:rFonts w:asciiTheme="minorHAnsi" w:hAnsiTheme="minorHAnsi"/>
          <w:sz w:val="22"/>
          <w:szCs w:val="22"/>
        </w:rPr>
        <w:t>how Timberlands, a forest licensee with approximately 2800 Ha of plantation forest in the catchment</w:t>
      </w:r>
      <w:r w:rsidR="00665E6E" w:rsidRPr="00DA78A6">
        <w:rPr>
          <w:rFonts w:asciiTheme="minorHAnsi" w:hAnsiTheme="minorHAnsi"/>
          <w:sz w:val="22"/>
          <w:szCs w:val="22"/>
        </w:rPr>
        <w:t xml:space="preserve"> </w:t>
      </w:r>
      <w:r w:rsidR="00665E6E">
        <w:rPr>
          <w:rFonts w:asciiTheme="minorHAnsi" w:hAnsiTheme="minorHAnsi"/>
          <w:sz w:val="22"/>
          <w:szCs w:val="22"/>
        </w:rPr>
        <w:t>were involved</w:t>
      </w:r>
      <w:r w:rsidR="00665E6E" w:rsidRPr="00DA78A6">
        <w:rPr>
          <w:rFonts w:asciiTheme="minorHAnsi" w:hAnsiTheme="minorHAnsi"/>
          <w:sz w:val="22"/>
          <w:szCs w:val="22"/>
        </w:rPr>
        <w:t xml:space="preserve"> </w:t>
      </w:r>
      <w:r w:rsidR="00665E6E">
        <w:rPr>
          <w:rFonts w:asciiTheme="minorHAnsi" w:hAnsiTheme="minorHAnsi"/>
          <w:sz w:val="22"/>
          <w:szCs w:val="22"/>
        </w:rPr>
        <w:t xml:space="preserve">in </w:t>
      </w:r>
      <w:r w:rsidRPr="00DA78A6">
        <w:rPr>
          <w:rFonts w:asciiTheme="minorHAnsi" w:hAnsiTheme="minorHAnsi"/>
          <w:sz w:val="22"/>
          <w:szCs w:val="22"/>
        </w:rPr>
        <w:t>the develop</w:t>
      </w:r>
      <w:r w:rsidR="00665E6E">
        <w:rPr>
          <w:rFonts w:asciiTheme="minorHAnsi" w:hAnsiTheme="minorHAnsi"/>
          <w:sz w:val="22"/>
          <w:szCs w:val="22"/>
        </w:rPr>
        <w:t>ment of</w:t>
      </w:r>
      <w:r w:rsidRPr="00DA78A6">
        <w:rPr>
          <w:rFonts w:asciiTheme="minorHAnsi" w:hAnsiTheme="minorHAnsi"/>
          <w:sz w:val="22"/>
          <w:szCs w:val="22"/>
        </w:rPr>
        <w:t xml:space="preserve"> Proposed Plan Change 10 I also address</w:t>
      </w:r>
      <w:r w:rsidR="00487606">
        <w:rPr>
          <w:rFonts w:asciiTheme="minorHAnsi" w:hAnsiTheme="minorHAnsi"/>
          <w:sz w:val="22"/>
          <w:szCs w:val="22"/>
        </w:rPr>
        <w:t xml:space="preserve"> aspects of the policy design</w:t>
      </w:r>
      <w:r w:rsidR="00665E6E">
        <w:rPr>
          <w:rFonts w:asciiTheme="minorHAnsi" w:hAnsiTheme="minorHAnsi"/>
          <w:sz w:val="22"/>
          <w:szCs w:val="22"/>
        </w:rPr>
        <w:t xml:space="preserve"> a</w:t>
      </w:r>
      <w:r w:rsidR="00DD23C1">
        <w:rPr>
          <w:rFonts w:asciiTheme="minorHAnsi" w:hAnsiTheme="minorHAnsi"/>
          <w:sz w:val="22"/>
          <w:szCs w:val="22"/>
        </w:rPr>
        <w:t xml:space="preserve">nd how these affect </w:t>
      </w:r>
      <w:r w:rsidR="003B0672">
        <w:rPr>
          <w:rFonts w:asciiTheme="minorHAnsi" w:hAnsiTheme="minorHAnsi"/>
          <w:sz w:val="22"/>
          <w:szCs w:val="22"/>
        </w:rPr>
        <w:t>Timberlands</w:t>
      </w:r>
      <w:r w:rsidRPr="00DA78A6">
        <w:rPr>
          <w:rFonts w:asciiTheme="minorHAnsi" w:hAnsiTheme="minorHAnsi"/>
          <w:sz w:val="22"/>
          <w:szCs w:val="22"/>
        </w:rPr>
        <w:t xml:space="preserve">. </w:t>
      </w:r>
    </w:p>
    <w:p w:rsidR="00EA318F" w:rsidRDefault="00EA318F" w:rsidP="00C15ABB">
      <w:pPr>
        <w:pStyle w:val="Default"/>
        <w:ind w:left="-360"/>
        <w:rPr>
          <w:rFonts w:asciiTheme="minorHAnsi" w:hAnsiTheme="minorHAnsi"/>
          <w:sz w:val="22"/>
          <w:szCs w:val="22"/>
        </w:rPr>
      </w:pPr>
    </w:p>
    <w:p w:rsidR="00CF681B" w:rsidRPr="00DA78A6" w:rsidRDefault="00CF681B" w:rsidP="00F8173A">
      <w:pPr>
        <w:pStyle w:val="Default"/>
        <w:numPr>
          <w:ilvl w:val="0"/>
          <w:numId w:val="28"/>
        </w:numPr>
        <w:rPr>
          <w:rFonts w:asciiTheme="minorHAnsi" w:hAnsiTheme="minorHAnsi"/>
          <w:sz w:val="22"/>
          <w:szCs w:val="22"/>
        </w:rPr>
      </w:pPr>
      <w:r w:rsidRPr="00DA78A6">
        <w:rPr>
          <w:rFonts w:asciiTheme="minorHAnsi" w:hAnsiTheme="minorHAnsi"/>
          <w:sz w:val="22"/>
          <w:szCs w:val="22"/>
        </w:rPr>
        <w:t xml:space="preserve">Although this is a Council Hearing, I have read the Code of Conduct for Expert Witnesses contained in the Practice Note issued by the Environment Court December 2014. I have complied with that Code when preparing my written statement of evidence and I agree to comply with it when I give any oral presentation. </w:t>
      </w:r>
    </w:p>
    <w:p w:rsidR="00EA318F" w:rsidRDefault="00EA318F" w:rsidP="00C15ABB">
      <w:pPr>
        <w:pStyle w:val="Default"/>
        <w:ind w:left="-360"/>
        <w:rPr>
          <w:rFonts w:asciiTheme="minorHAnsi" w:hAnsiTheme="minorHAnsi"/>
          <w:sz w:val="22"/>
          <w:szCs w:val="22"/>
        </w:rPr>
      </w:pPr>
    </w:p>
    <w:p w:rsidR="00CF681B" w:rsidRPr="00DA78A6" w:rsidRDefault="00CF681B" w:rsidP="00F8173A">
      <w:pPr>
        <w:pStyle w:val="Default"/>
        <w:numPr>
          <w:ilvl w:val="0"/>
          <w:numId w:val="28"/>
        </w:numPr>
        <w:rPr>
          <w:rFonts w:asciiTheme="minorHAnsi" w:hAnsiTheme="minorHAnsi"/>
          <w:sz w:val="22"/>
          <w:szCs w:val="22"/>
        </w:rPr>
      </w:pPr>
      <w:r w:rsidRPr="00DA78A6">
        <w:rPr>
          <w:rFonts w:asciiTheme="minorHAnsi" w:hAnsiTheme="minorHAnsi"/>
          <w:sz w:val="22"/>
          <w:szCs w:val="22"/>
        </w:rPr>
        <w:t xml:space="preserve">My evidence addresses the following subjects: </w:t>
      </w:r>
    </w:p>
    <w:p w:rsidR="00E73EE4" w:rsidRDefault="00747110" w:rsidP="00CF27DD">
      <w:pPr>
        <w:pStyle w:val="Default"/>
        <w:numPr>
          <w:ilvl w:val="0"/>
          <w:numId w:val="13"/>
        </w:numPr>
        <w:rPr>
          <w:rFonts w:asciiTheme="minorHAnsi" w:hAnsiTheme="minorHAnsi"/>
          <w:bCs/>
          <w:sz w:val="22"/>
          <w:szCs w:val="22"/>
        </w:rPr>
      </w:pPr>
      <w:r>
        <w:rPr>
          <w:rFonts w:asciiTheme="minorHAnsi" w:hAnsiTheme="minorHAnsi"/>
          <w:bCs/>
          <w:sz w:val="22"/>
          <w:szCs w:val="22"/>
        </w:rPr>
        <w:t>Timberlands c</w:t>
      </w:r>
      <w:r w:rsidR="00E73EE4">
        <w:rPr>
          <w:rFonts w:asciiTheme="minorHAnsi" w:hAnsiTheme="minorHAnsi"/>
          <w:bCs/>
          <w:sz w:val="22"/>
          <w:szCs w:val="22"/>
        </w:rPr>
        <w:t>ontext for interacting with Plan Change 10</w:t>
      </w:r>
    </w:p>
    <w:p w:rsidR="00E73EE4" w:rsidRPr="00DA78A6" w:rsidRDefault="00EE1F27" w:rsidP="00CF27DD">
      <w:pPr>
        <w:pStyle w:val="Default"/>
        <w:numPr>
          <w:ilvl w:val="0"/>
          <w:numId w:val="13"/>
        </w:numPr>
        <w:rPr>
          <w:rFonts w:asciiTheme="minorHAnsi" w:hAnsiTheme="minorHAnsi"/>
          <w:sz w:val="22"/>
          <w:szCs w:val="22"/>
        </w:rPr>
      </w:pPr>
      <w:r>
        <w:rPr>
          <w:rFonts w:asciiTheme="minorHAnsi" w:hAnsiTheme="minorHAnsi"/>
          <w:bCs/>
          <w:sz w:val="22"/>
          <w:szCs w:val="22"/>
        </w:rPr>
        <w:t xml:space="preserve">Collaborative </w:t>
      </w:r>
      <w:r w:rsidR="00E73EE4">
        <w:rPr>
          <w:rFonts w:asciiTheme="minorHAnsi" w:hAnsiTheme="minorHAnsi"/>
          <w:bCs/>
          <w:sz w:val="22"/>
          <w:szCs w:val="22"/>
        </w:rPr>
        <w:t>Policy</w:t>
      </w:r>
      <w:r w:rsidR="00E73EE4" w:rsidRPr="00DA78A6">
        <w:rPr>
          <w:rFonts w:asciiTheme="minorHAnsi" w:hAnsiTheme="minorHAnsi"/>
          <w:bCs/>
          <w:sz w:val="22"/>
          <w:szCs w:val="22"/>
        </w:rPr>
        <w:t xml:space="preserve"> Development Process </w:t>
      </w:r>
    </w:p>
    <w:p w:rsidR="00E73EE4" w:rsidRPr="00DA78A6" w:rsidRDefault="00E73EE4" w:rsidP="00CF27DD">
      <w:pPr>
        <w:pStyle w:val="Default"/>
        <w:numPr>
          <w:ilvl w:val="0"/>
          <w:numId w:val="13"/>
        </w:numPr>
        <w:rPr>
          <w:rFonts w:asciiTheme="minorHAnsi" w:hAnsiTheme="minorHAnsi"/>
          <w:sz w:val="22"/>
          <w:szCs w:val="22"/>
        </w:rPr>
      </w:pPr>
      <w:r>
        <w:rPr>
          <w:rFonts w:asciiTheme="minorHAnsi" w:hAnsiTheme="minorHAnsi"/>
          <w:bCs/>
          <w:sz w:val="22"/>
          <w:szCs w:val="22"/>
        </w:rPr>
        <w:t xml:space="preserve">Policy </w:t>
      </w:r>
      <w:r w:rsidR="00665E6E">
        <w:rPr>
          <w:rFonts w:asciiTheme="minorHAnsi" w:hAnsiTheme="minorHAnsi"/>
          <w:bCs/>
          <w:sz w:val="22"/>
          <w:szCs w:val="22"/>
        </w:rPr>
        <w:t>Framework</w:t>
      </w:r>
      <w:r>
        <w:rPr>
          <w:rFonts w:asciiTheme="minorHAnsi" w:hAnsiTheme="minorHAnsi"/>
          <w:bCs/>
          <w:sz w:val="22"/>
          <w:szCs w:val="22"/>
        </w:rPr>
        <w:t xml:space="preserve"> </w:t>
      </w:r>
    </w:p>
    <w:p w:rsidR="00CF681B" w:rsidRDefault="00E73EE4" w:rsidP="00CF27DD">
      <w:pPr>
        <w:pStyle w:val="Default"/>
        <w:numPr>
          <w:ilvl w:val="0"/>
          <w:numId w:val="13"/>
        </w:numPr>
        <w:rPr>
          <w:rFonts w:asciiTheme="minorHAnsi" w:hAnsiTheme="minorHAnsi"/>
          <w:bCs/>
          <w:sz w:val="22"/>
          <w:szCs w:val="22"/>
        </w:rPr>
      </w:pPr>
      <w:r>
        <w:rPr>
          <w:rFonts w:asciiTheme="minorHAnsi" w:hAnsiTheme="minorHAnsi"/>
          <w:bCs/>
          <w:sz w:val="22"/>
          <w:szCs w:val="22"/>
        </w:rPr>
        <w:t>Use of Overseer</w:t>
      </w:r>
    </w:p>
    <w:p w:rsidR="003C20B6" w:rsidRDefault="003C20B6" w:rsidP="00CF27DD">
      <w:pPr>
        <w:pStyle w:val="Default"/>
        <w:numPr>
          <w:ilvl w:val="0"/>
          <w:numId w:val="13"/>
        </w:numPr>
        <w:rPr>
          <w:rFonts w:asciiTheme="minorHAnsi" w:hAnsiTheme="minorHAnsi"/>
          <w:bCs/>
          <w:sz w:val="22"/>
          <w:szCs w:val="22"/>
        </w:rPr>
      </w:pPr>
      <w:r>
        <w:rPr>
          <w:rFonts w:asciiTheme="minorHAnsi" w:hAnsiTheme="minorHAnsi"/>
          <w:bCs/>
          <w:sz w:val="22"/>
          <w:szCs w:val="22"/>
        </w:rPr>
        <w:t>Plan effectiveness and efficiency assessment</w:t>
      </w:r>
    </w:p>
    <w:p w:rsidR="00007325" w:rsidRDefault="00007325">
      <w:pPr>
        <w:rPr>
          <w:rFonts w:cs="Arial"/>
          <w:bCs/>
          <w:color w:val="000000"/>
        </w:rPr>
      </w:pPr>
    </w:p>
    <w:p w:rsidR="003C20B6" w:rsidRDefault="003B0672" w:rsidP="003C20B6">
      <w:pPr>
        <w:pStyle w:val="Heading1"/>
        <w:rPr>
          <w:rFonts w:asciiTheme="minorHAnsi" w:hAnsiTheme="minorHAnsi"/>
          <w:b/>
          <w:sz w:val="28"/>
          <w:szCs w:val="28"/>
        </w:rPr>
      </w:pPr>
      <w:bookmarkStart w:id="1" w:name="_Toc476575935"/>
      <w:r>
        <w:rPr>
          <w:rFonts w:asciiTheme="minorHAnsi" w:hAnsiTheme="minorHAnsi"/>
          <w:b/>
          <w:sz w:val="28"/>
          <w:szCs w:val="28"/>
        </w:rPr>
        <w:t>Timberlands</w:t>
      </w:r>
      <w:r w:rsidR="003C20B6" w:rsidRPr="00B26342">
        <w:rPr>
          <w:rFonts w:asciiTheme="minorHAnsi" w:hAnsiTheme="minorHAnsi"/>
          <w:b/>
          <w:sz w:val="28"/>
          <w:szCs w:val="28"/>
        </w:rPr>
        <w:t xml:space="preserve"> </w:t>
      </w:r>
      <w:r w:rsidR="005A2520">
        <w:rPr>
          <w:rFonts w:asciiTheme="minorHAnsi" w:hAnsiTheme="minorHAnsi"/>
          <w:b/>
          <w:sz w:val="28"/>
          <w:szCs w:val="28"/>
        </w:rPr>
        <w:t xml:space="preserve">role in the Lake Rotorua </w:t>
      </w:r>
      <w:r w:rsidR="003C20B6" w:rsidRPr="00B26342">
        <w:rPr>
          <w:rFonts w:asciiTheme="minorHAnsi" w:hAnsiTheme="minorHAnsi"/>
          <w:b/>
          <w:sz w:val="28"/>
          <w:szCs w:val="28"/>
        </w:rPr>
        <w:t>C</w:t>
      </w:r>
      <w:r w:rsidR="005A2520">
        <w:rPr>
          <w:rFonts w:asciiTheme="minorHAnsi" w:hAnsiTheme="minorHAnsi"/>
          <w:b/>
          <w:sz w:val="28"/>
          <w:szCs w:val="28"/>
        </w:rPr>
        <w:t>atchment</w:t>
      </w:r>
      <w:bookmarkEnd w:id="1"/>
      <w:r w:rsidR="003C20B6" w:rsidRPr="00B26342">
        <w:rPr>
          <w:rFonts w:asciiTheme="minorHAnsi" w:hAnsiTheme="minorHAnsi"/>
          <w:b/>
          <w:sz w:val="28"/>
          <w:szCs w:val="28"/>
        </w:rPr>
        <w:t xml:space="preserve"> </w:t>
      </w:r>
    </w:p>
    <w:p w:rsidR="00B26342" w:rsidRPr="00B26342" w:rsidRDefault="00B26342" w:rsidP="00B26342"/>
    <w:p w:rsidR="00480700" w:rsidRDefault="00A72D29" w:rsidP="00F8173A">
      <w:pPr>
        <w:pStyle w:val="ListParagraph"/>
        <w:numPr>
          <w:ilvl w:val="0"/>
          <w:numId w:val="28"/>
        </w:numPr>
        <w:autoSpaceDE w:val="0"/>
        <w:autoSpaceDN w:val="0"/>
        <w:adjustRightInd w:val="0"/>
      </w:pPr>
      <w:r>
        <w:t xml:space="preserve">In the Lake Rotorua catchment </w:t>
      </w:r>
      <w:r w:rsidR="003B0672">
        <w:t xml:space="preserve">Timberlands has a </w:t>
      </w:r>
      <w:r w:rsidR="00FA7EED">
        <w:t>Crown Forestry Licence</w:t>
      </w:r>
      <w:r w:rsidR="003B0672">
        <w:t xml:space="preserve"> over </w:t>
      </w:r>
      <w:r w:rsidR="005541C4">
        <w:t>approximately</w:t>
      </w:r>
      <w:r w:rsidR="003B0672">
        <w:t xml:space="preserve"> </w:t>
      </w:r>
      <w:r>
        <w:t>28</w:t>
      </w:r>
      <w:r w:rsidR="005541C4">
        <w:t>00</w:t>
      </w:r>
      <w:r w:rsidR="00E873E5">
        <w:t xml:space="preserve"> Ha </w:t>
      </w:r>
      <w:r w:rsidR="005541C4">
        <w:t>and a</w:t>
      </w:r>
      <w:r w:rsidR="00D36B92">
        <w:t>n</w:t>
      </w:r>
      <w:r w:rsidR="005541C4">
        <w:t xml:space="preserve"> 80Ha pine tree nursery on leased land</w:t>
      </w:r>
      <w:r w:rsidR="00665E6E">
        <w:t xml:space="preserve"> which has both open grown and containerised nursery stock</w:t>
      </w:r>
      <w:r>
        <w:t>.</w:t>
      </w:r>
      <w:r w:rsidR="001759E3">
        <w:t xml:space="preserve"> </w:t>
      </w:r>
    </w:p>
    <w:p w:rsidR="00E873E5" w:rsidRPr="00EA318F" w:rsidRDefault="001759E3" w:rsidP="00480700">
      <w:pPr>
        <w:pStyle w:val="ListParagraph"/>
        <w:autoSpaceDE w:val="0"/>
        <w:autoSpaceDN w:val="0"/>
        <w:adjustRightInd w:val="0"/>
        <w:ind w:left="501"/>
      </w:pPr>
      <w:r>
        <w:t xml:space="preserve"> </w:t>
      </w:r>
    </w:p>
    <w:p w:rsidR="00E873E5" w:rsidRPr="00480700" w:rsidRDefault="00480700" w:rsidP="00F8173A">
      <w:pPr>
        <w:pStyle w:val="ListParagraph"/>
        <w:numPr>
          <w:ilvl w:val="0"/>
          <w:numId w:val="28"/>
        </w:numPr>
        <w:autoSpaceDE w:val="0"/>
        <w:autoSpaceDN w:val="0"/>
        <w:adjustRightInd w:val="0"/>
      </w:pPr>
      <w:r>
        <w:t xml:space="preserve">Timberlands support the purpose of the </w:t>
      </w:r>
      <w:r w:rsidR="00804CAC">
        <w:t xml:space="preserve">proposed Plan Change 10 </w:t>
      </w:r>
      <w:r>
        <w:t xml:space="preserve">to </w:t>
      </w:r>
      <w:r w:rsidR="00804CAC">
        <w:t xml:space="preserve">returning the TLI </w:t>
      </w:r>
      <w:r w:rsidR="00081A7E">
        <w:t xml:space="preserve">of Lake Rotorua </w:t>
      </w:r>
      <w:r w:rsidR="00804CAC">
        <w:t>to a sustainable 4.2</w:t>
      </w:r>
      <w:r w:rsidR="00833CBF">
        <w:t xml:space="preserve"> by using a </w:t>
      </w:r>
      <w:r>
        <w:t>rule</w:t>
      </w:r>
      <w:r w:rsidR="00833CBF">
        <w:t xml:space="preserve"> structure to reduc</w:t>
      </w:r>
      <w:r w:rsidR="00081A7E">
        <w:t>e</w:t>
      </w:r>
      <w:r w:rsidR="00833CBF">
        <w:t xml:space="preserve"> N input to the Lake</w:t>
      </w:r>
      <w:r>
        <w:t>, provided th</w:t>
      </w:r>
      <w:r w:rsidR="00833CBF">
        <w:t>os</w:t>
      </w:r>
      <w:r>
        <w:t>e rules do not impede the future viability of variants on plantation forestry</w:t>
      </w:r>
      <w:r w:rsidR="00081A7E">
        <w:t>.</w:t>
      </w:r>
    </w:p>
    <w:p w:rsidR="003D0603" w:rsidRPr="00B26342" w:rsidRDefault="00720FC4" w:rsidP="003D0603">
      <w:pPr>
        <w:pStyle w:val="Heading1"/>
        <w:rPr>
          <w:rFonts w:asciiTheme="minorHAnsi" w:hAnsiTheme="minorHAnsi"/>
          <w:b/>
          <w:sz w:val="28"/>
          <w:szCs w:val="28"/>
        </w:rPr>
      </w:pPr>
      <w:bookmarkStart w:id="2" w:name="_Toc476575936"/>
      <w:r>
        <w:rPr>
          <w:rFonts w:asciiTheme="minorHAnsi" w:hAnsiTheme="minorHAnsi"/>
          <w:b/>
          <w:sz w:val="28"/>
          <w:szCs w:val="28"/>
        </w:rPr>
        <w:t>Collaborative p</w:t>
      </w:r>
      <w:r w:rsidR="003D0603" w:rsidRPr="00B26342">
        <w:rPr>
          <w:rFonts w:asciiTheme="minorHAnsi" w:hAnsiTheme="minorHAnsi"/>
          <w:b/>
          <w:sz w:val="28"/>
          <w:szCs w:val="28"/>
        </w:rPr>
        <w:t>olicy development process</w:t>
      </w:r>
      <w:bookmarkEnd w:id="2"/>
      <w:r w:rsidR="003D0603" w:rsidRPr="00B26342">
        <w:rPr>
          <w:rFonts w:asciiTheme="minorHAnsi" w:hAnsiTheme="minorHAnsi"/>
          <w:b/>
          <w:sz w:val="28"/>
          <w:szCs w:val="28"/>
        </w:rPr>
        <w:t xml:space="preserve"> </w:t>
      </w:r>
    </w:p>
    <w:p w:rsidR="003D0603" w:rsidRDefault="003D0603" w:rsidP="00C15ABB">
      <w:pPr>
        <w:pStyle w:val="Default"/>
        <w:ind w:left="-218"/>
        <w:rPr>
          <w:rFonts w:asciiTheme="minorHAnsi" w:hAnsiTheme="minorHAnsi"/>
          <w:sz w:val="22"/>
          <w:szCs w:val="22"/>
        </w:rPr>
      </w:pPr>
    </w:p>
    <w:p w:rsidR="003D0603" w:rsidRDefault="009F734B" w:rsidP="00F8173A">
      <w:pPr>
        <w:pStyle w:val="ListParagraph"/>
        <w:numPr>
          <w:ilvl w:val="0"/>
          <w:numId w:val="28"/>
        </w:numPr>
      </w:pPr>
      <w:r>
        <w:t xml:space="preserve">Timberlands was </w:t>
      </w:r>
      <w:r w:rsidR="004A1DF6">
        <w:t xml:space="preserve">involved </w:t>
      </w:r>
      <w:r w:rsidR="00DD23C1">
        <w:t xml:space="preserve">in </w:t>
      </w:r>
      <w:r w:rsidR="00A72D29">
        <w:t>the Plan Change 10</w:t>
      </w:r>
      <w:r w:rsidR="00DD23C1">
        <w:t xml:space="preserve"> development process</w:t>
      </w:r>
      <w:r>
        <w:t xml:space="preserve"> as the forestry representative</w:t>
      </w:r>
      <w:r w:rsidR="004A1DF6">
        <w:t xml:space="preserve"> on the St</w:t>
      </w:r>
      <w:r w:rsidR="00C4006B">
        <w:t>akeholder Advisory Group (</w:t>
      </w:r>
      <w:proofErr w:type="spellStart"/>
      <w:r w:rsidR="00C4006B">
        <w:t>St</w:t>
      </w:r>
      <w:r w:rsidR="004A1DF6">
        <w:t>AG</w:t>
      </w:r>
      <w:proofErr w:type="spellEnd"/>
      <w:r w:rsidR="00C4006B">
        <w:t>)</w:t>
      </w:r>
      <w:r>
        <w:t xml:space="preserve">. </w:t>
      </w:r>
      <w:r w:rsidR="004A1DF6">
        <w:t xml:space="preserve"> </w:t>
      </w:r>
      <w:r w:rsidR="000A56CE">
        <w:t>A</w:t>
      </w:r>
      <w:r w:rsidR="004A1DF6">
        <w:t xml:space="preserve">t the first </w:t>
      </w:r>
      <w:proofErr w:type="spellStart"/>
      <w:r w:rsidR="005A2520">
        <w:t>StAG</w:t>
      </w:r>
      <w:proofErr w:type="spellEnd"/>
      <w:r w:rsidR="005A2520">
        <w:t xml:space="preserve"> </w:t>
      </w:r>
      <w:r w:rsidR="004A1DF6">
        <w:t xml:space="preserve">meeting </w:t>
      </w:r>
      <w:r w:rsidR="000F26D1">
        <w:t xml:space="preserve">on November 2012 </w:t>
      </w:r>
      <w:r w:rsidR="000A56CE">
        <w:t xml:space="preserve">we clarified and cautioned </w:t>
      </w:r>
      <w:r>
        <w:t>that</w:t>
      </w:r>
      <w:r w:rsidR="00B83C94">
        <w:t>:</w:t>
      </w:r>
      <w:r>
        <w:t xml:space="preserve"> </w:t>
      </w:r>
      <w:r w:rsidR="000F26D1">
        <w:t xml:space="preserve">forestry interests who </w:t>
      </w:r>
      <w:r>
        <w:t xml:space="preserve">lease or license </w:t>
      </w:r>
      <w:r w:rsidR="000F26D1">
        <w:t xml:space="preserve">land </w:t>
      </w:r>
      <w:r w:rsidR="00A72D29">
        <w:t xml:space="preserve">will be affected </w:t>
      </w:r>
      <w:r>
        <w:t>different</w:t>
      </w:r>
      <w:r w:rsidR="00A72D29">
        <w:t xml:space="preserve">ly by </w:t>
      </w:r>
      <w:r>
        <w:t xml:space="preserve">the Plan </w:t>
      </w:r>
      <w:r w:rsidR="004A1DF6">
        <w:t xml:space="preserve">from </w:t>
      </w:r>
      <w:r w:rsidR="00A72D29">
        <w:t xml:space="preserve">how </w:t>
      </w:r>
      <w:r>
        <w:t>land owners</w:t>
      </w:r>
      <w:r w:rsidR="00A72D29">
        <w:t xml:space="preserve"> will</w:t>
      </w:r>
      <w:r w:rsidR="003D0603">
        <w:t xml:space="preserve">; </w:t>
      </w:r>
      <w:r w:rsidR="005A2520">
        <w:t>that f</w:t>
      </w:r>
      <w:r w:rsidR="00314B72">
        <w:t>orestry interests will vary depending on whether they are a large corporate or farm forestry</w:t>
      </w:r>
      <w:r w:rsidR="003D0603">
        <w:t xml:space="preserve">; that foresters have a keen interest in assessing the merits of allocation and that foresters are </w:t>
      </w:r>
      <w:r w:rsidR="00B83C94">
        <w:t xml:space="preserve">strongly </w:t>
      </w:r>
      <w:r w:rsidR="003D0603">
        <w:t>opposed to grand parenting</w:t>
      </w:r>
      <w:r w:rsidR="00A72D29">
        <w:t xml:space="preserve"> as an allocation mechanism</w:t>
      </w:r>
      <w:r w:rsidR="00314B72">
        <w:t xml:space="preserve">.   </w:t>
      </w:r>
      <w:r w:rsidR="000F26D1">
        <w:t>Non-landowning forester’s</w:t>
      </w:r>
      <w:r w:rsidR="000816EE">
        <w:t xml:space="preserve"> </w:t>
      </w:r>
      <w:r>
        <w:t>interests</w:t>
      </w:r>
      <w:r w:rsidR="005A2520">
        <w:t>,</w:t>
      </w:r>
      <w:r>
        <w:t xml:space="preserve"> </w:t>
      </w:r>
      <w:r w:rsidR="005A2520">
        <w:t xml:space="preserve">such as </w:t>
      </w:r>
      <w:r w:rsidR="00B83C94">
        <w:t>ours</w:t>
      </w:r>
      <w:r w:rsidR="005A2520">
        <w:t xml:space="preserve">, </w:t>
      </w:r>
      <w:r>
        <w:t xml:space="preserve">are generally constrained to </w:t>
      </w:r>
      <w:r w:rsidR="005A2520">
        <w:t xml:space="preserve">making sure the rules continue to allow us to </w:t>
      </w:r>
      <w:r>
        <w:t>be able to produce a valuable tree crop</w:t>
      </w:r>
      <w:r w:rsidR="005A2520">
        <w:t xml:space="preserve">.  </w:t>
      </w:r>
    </w:p>
    <w:p w:rsidR="003D0603" w:rsidRDefault="003D0603" w:rsidP="003D0603"/>
    <w:p w:rsidR="001A40DA" w:rsidRDefault="003D0603" w:rsidP="00F8173A">
      <w:pPr>
        <w:pStyle w:val="ListParagraph"/>
        <w:numPr>
          <w:ilvl w:val="0"/>
          <w:numId w:val="28"/>
        </w:numPr>
      </w:pPr>
      <w:r>
        <w:t>Intensive collaborative stakeholder processes</w:t>
      </w:r>
      <w:r w:rsidR="003877D1">
        <w:t>,</w:t>
      </w:r>
      <w:r>
        <w:t xml:space="preserve"> such as that used for Lake Rotorua</w:t>
      </w:r>
      <w:r w:rsidR="003877D1">
        <w:t>,</w:t>
      </w:r>
      <w:r>
        <w:t xml:space="preserve"> </w:t>
      </w:r>
      <w:r w:rsidR="003877D1">
        <w:t>involve</w:t>
      </w:r>
      <w:r>
        <w:t xml:space="preserve"> a </w:t>
      </w:r>
      <w:r w:rsidR="003877D1">
        <w:t xml:space="preserve">substantial </w:t>
      </w:r>
      <w:r>
        <w:t>time commitment</w:t>
      </w:r>
      <w:r w:rsidR="003877D1">
        <w:t xml:space="preserve"> to attend meetings, </w:t>
      </w:r>
      <w:r w:rsidR="000F26D1">
        <w:t xml:space="preserve">to </w:t>
      </w:r>
      <w:r w:rsidR="003877D1">
        <w:t xml:space="preserve">do any </w:t>
      </w:r>
      <w:r w:rsidR="003877D1" w:rsidRPr="003877D1">
        <w:t xml:space="preserve">sector research, </w:t>
      </w:r>
      <w:r w:rsidR="00F71708">
        <w:t>and</w:t>
      </w:r>
      <w:r w:rsidR="003877D1" w:rsidRPr="003877D1">
        <w:t xml:space="preserve"> </w:t>
      </w:r>
      <w:r w:rsidR="000F26D1">
        <w:t xml:space="preserve">to </w:t>
      </w:r>
      <w:r w:rsidR="003877D1" w:rsidRPr="003877D1">
        <w:t xml:space="preserve">engage with </w:t>
      </w:r>
      <w:r w:rsidR="00F71708">
        <w:lastRenderedPageBreak/>
        <w:t>forestry</w:t>
      </w:r>
      <w:r w:rsidR="003877D1" w:rsidRPr="00004687">
        <w:rPr>
          <w:b/>
          <w:color w:val="000000" w:themeColor="text1"/>
        </w:rPr>
        <w:t xml:space="preserve"> </w:t>
      </w:r>
      <w:r w:rsidR="003877D1" w:rsidRPr="003877D1">
        <w:t xml:space="preserve">agencies and </w:t>
      </w:r>
      <w:r w:rsidR="00F71708">
        <w:t xml:space="preserve">the forestry </w:t>
      </w:r>
      <w:r w:rsidR="003877D1" w:rsidRPr="003877D1">
        <w:t xml:space="preserve">sector to get feedback on draft advice and other relevant matters. </w:t>
      </w:r>
      <w:r>
        <w:t xml:space="preserve">Foresters </w:t>
      </w:r>
      <w:r w:rsidR="000A56CE">
        <w:t xml:space="preserve">as an industry </w:t>
      </w:r>
      <w:r>
        <w:t>d</w:t>
      </w:r>
      <w:r w:rsidR="000F26D1">
        <w:t>id</w:t>
      </w:r>
      <w:r>
        <w:t xml:space="preserve"> not have the staffing capacity to be involved</w:t>
      </w:r>
      <w:r w:rsidR="00B83C94">
        <w:t xml:space="preserve"> to the extent</w:t>
      </w:r>
      <w:r w:rsidR="000F26D1">
        <w:t xml:space="preserve"> necessary</w:t>
      </w:r>
      <w:r w:rsidR="003877D1">
        <w:t>, especially as there were</w:t>
      </w:r>
      <w:r>
        <w:t xml:space="preserve"> multiple </w:t>
      </w:r>
      <w:r w:rsidR="003877D1">
        <w:t xml:space="preserve">collaborative </w:t>
      </w:r>
      <w:r>
        <w:t xml:space="preserve">processes running </w:t>
      </w:r>
      <w:r w:rsidR="00A576CF">
        <w:t>at the time</w:t>
      </w:r>
      <w:r w:rsidR="003877D1">
        <w:t>.  Forestry was</w:t>
      </w:r>
      <w:r>
        <w:t xml:space="preserve"> thus intermittently represented</w:t>
      </w:r>
      <w:r w:rsidR="00A576CF">
        <w:t>,</w:t>
      </w:r>
      <w:r w:rsidR="003877D1">
        <w:t xml:space="preserve"> which has been to the detriment of</w:t>
      </w:r>
      <w:r w:rsidR="00A576CF">
        <w:t xml:space="preserve"> </w:t>
      </w:r>
      <w:r w:rsidR="000F26D1">
        <w:t>adequately expressing</w:t>
      </w:r>
      <w:r w:rsidR="00A576CF">
        <w:t xml:space="preserve"> the </w:t>
      </w:r>
      <w:r w:rsidR="00B520FA">
        <w:t>forestry view</w:t>
      </w:r>
      <w:r w:rsidR="000F26D1">
        <w:t>,</w:t>
      </w:r>
      <w:r w:rsidR="00B520FA">
        <w:t xml:space="preserve"> </w:t>
      </w:r>
      <w:r w:rsidR="000F26D1">
        <w:t>of</w:t>
      </w:r>
      <w:r w:rsidR="00B520FA">
        <w:t xml:space="preserve"> </w:t>
      </w:r>
      <w:r w:rsidR="00A576CF">
        <w:t>C</w:t>
      </w:r>
      <w:r w:rsidR="003877D1">
        <w:t>ouncil</w:t>
      </w:r>
      <w:r w:rsidR="00B520FA">
        <w:t>/</w:t>
      </w:r>
      <w:r w:rsidR="000F26D1">
        <w:t xml:space="preserve"> </w:t>
      </w:r>
      <w:r w:rsidR="003877D1">
        <w:t>other stakeholders</w:t>
      </w:r>
      <w:r w:rsidR="00A576CF">
        <w:t>’</w:t>
      </w:r>
      <w:r w:rsidR="003877D1">
        <w:t xml:space="preserve"> understanding of the </w:t>
      </w:r>
      <w:r w:rsidR="00B83C94">
        <w:t>needs of forestry</w:t>
      </w:r>
      <w:r w:rsidR="00B520FA">
        <w:t>,</w:t>
      </w:r>
      <w:r w:rsidR="00B83C94">
        <w:t xml:space="preserve"> and </w:t>
      </w:r>
      <w:r w:rsidR="000F26D1">
        <w:t xml:space="preserve">of </w:t>
      </w:r>
      <w:r w:rsidR="00B83C94">
        <w:t xml:space="preserve">the </w:t>
      </w:r>
      <w:r w:rsidR="003877D1">
        <w:t>distinction between a forest crop owner and the underlying land owner</w:t>
      </w:r>
      <w:r w:rsidR="00A576CF">
        <w:t xml:space="preserve"> </w:t>
      </w:r>
      <w:r w:rsidR="000F26D1">
        <w:t xml:space="preserve">with </w:t>
      </w:r>
      <w:r w:rsidR="00A576CF">
        <w:t>potentially different goals</w:t>
      </w:r>
      <w:r>
        <w:t xml:space="preserve">.  </w:t>
      </w:r>
      <w:r w:rsidR="000A56CE">
        <w:t xml:space="preserve">We are also not clear whether forestry and forest land owners were </w:t>
      </w:r>
      <w:r w:rsidR="00B520FA">
        <w:t xml:space="preserve">adequately or </w:t>
      </w:r>
      <w:r w:rsidR="000A56CE">
        <w:t xml:space="preserve">proportionally represented in the </w:t>
      </w:r>
      <w:proofErr w:type="spellStart"/>
      <w:r w:rsidR="00B520FA">
        <w:t>StAG</w:t>
      </w:r>
      <w:proofErr w:type="spellEnd"/>
      <w:r w:rsidR="00B520FA">
        <w:t xml:space="preserve"> </w:t>
      </w:r>
      <w:r w:rsidR="000A56CE">
        <w:t>group</w:t>
      </w:r>
      <w:r w:rsidR="00B520FA">
        <w:t>,</w:t>
      </w:r>
      <w:r w:rsidR="009454E6">
        <w:t xml:space="preserve"> for which Council determined the representation and the appointment process.  </w:t>
      </w:r>
    </w:p>
    <w:p w:rsidR="00004687" w:rsidRDefault="00004687" w:rsidP="00004687">
      <w:pPr>
        <w:pStyle w:val="ListParagraph"/>
        <w:ind w:left="501"/>
      </w:pPr>
    </w:p>
    <w:p w:rsidR="00412ED0" w:rsidRDefault="00412ED0" w:rsidP="00F8173A">
      <w:pPr>
        <w:pStyle w:val="ListParagraph"/>
        <w:numPr>
          <w:ilvl w:val="0"/>
          <w:numId w:val="28"/>
        </w:numPr>
      </w:pPr>
      <w:r>
        <w:t>The absence of knowledgeable advocacy for forestry has also meant that a very simplistic view of forestry regimes has been used</w:t>
      </w:r>
      <w:r>
        <w:rPr>
          <w:rStyle w:val="FootnoteReference"/>
        </w:rPr>
        <w:footnoteReference w:id="1"/>
      </w:r>
      <w:r>
        <w:t xml:space="preserve">.  </w:t>
      </w:r>
      <w:proofErr w:type="spellStart"/>
      <w:r>
        <w:t>StAG</w:t>
      </w:r>
      <w:proofErr w:type="spellEnd"/>
      <w:r>
        <w:t xml:space="preserve"> minutes record that large scale new forestry would need to address issues beyond the scope of Farm Scale Planning i.e. phasing, landscape, species, land/block aggregation.  A single conventional short rotation softwood (radiata pine) model was used in Farm Scale Planning, which Council advises was “due to time and budget limits”.  It is interesting that despite these limits Council was able to find considerable time and budget to finesse various livestock farming options.  Our observation is that the whole process rapidly became farmer-centric and the policy results indicate a very high level of capture by pastoral farming needs.  </w:t>
      </w:r>
    </w:p>
    <w:p w:rsidR="00412ED0" w:rsidRDefault="00412ED0" w:rsidP="00412ED0">
      <w:pPr>
        <w:pStyle w:val="ListParagraph"/>
        <w:ind w:left="501"/>
      </w:pPr>
    </w:p>
    <w:p w:rsidR="00412ED0" w:rsidRDefault="00412ED0" w:rsidP="00F8173A">
      <w:pPr>
        <w:pStyle w:val="ListParagraph"/>
        <w:numPr>
          <w:ilvl w:val="0"/>
          <w:numId w:val="28"/>
        </w:numPr>
      </w:pPr>
      <w:r>
        <w:t xml:space="preserve">By the June 2013 meeting, in the absence of any forestry input, the </w:t>
      </w:r>
      <w:proofErr w:type="spellStart"/>
      <w:r>
        <w:t>StAG</w:t>
      </w:r>
      <w:proofErr w:type="spellEnd"/>
      <w:r>
        <w:t xml:space="preserve"> decided to reduce the N allowance from forestry from 4kg/Ha to 3 kg/Ha.   It is not clear how the forestry reference file was developed for Rule 11 or how a transition was made from Overseer 5.4 to Overseer 6.2 for forestry.   For most other land uses this process tended to increase the N required for the activity to function.  We can only conclude that because Council was using an allocation regime, and the distribution of N was looking very unfavourable for the continuation of some farming types, that a painless way for the N maths to be improved was by reducing the forestry share. </w:t>
      </w:r>
    </w:p>
    <w:p w:rsidR="00081A7E" w:rsidRDefault="00081A7E" w:rsidP="00081A7E">
      <w:pPr>
        <w:pStyle w:val="ListParagraph"/>
        <w:ind w:left="501"/>
      </w:pPr>
    </w:p>
    <w:p w:rsidR="00AB5078" w:rsidRPr="00DC7337" w:rsidRDefault="00D44C4C" w:rsidP="00F8173A">
      <w:pPr>
        <w:pStyle w:val="ListParagraph"/>
        <w:numPr>
          <w:ilvl w:val="0"/>
          <w:numId w:val="28"/>
        </w:numPr>
        <w:rPr>
          <w:i/>
        </w:rPr>
      </w:pPr>
      <w:r>
        <w:t xml:space="preserve">The </w:t>
      </w:r>
      <w:proofErr w:type="spellStart"/>
      <w:r w:rsidRPr="00CF68DB">
        <w:t>StAG</w:t>
      </w:r>
      <w:proofErr w:type="spellEnd"/>
      <w:r w:rsidRPr="00CF68DB">
        <w:t xml:space="preserve"> </w:t>
      </w:r>
      <w:r>
        <w:t xml:space="preserve">construction </w:t>
      </w:r>
      <w:r w:rsidRPr="00CF68DB">
        <w:t>allocated one of the fifteen seats to all aspects of forest interests.   Forest is the land use on 47% of the catchment</w:t>
      </w:r>
      <w:r w:rsidRPr="00CF68DB">
        <w:rPr>
          <w:rStyle w:val="FootnoteReference"/>
        </w:rPr>
        <w:footnoteReference w:id="2"/>
      </w:r>
      <w:r w:rsidRPr="00CF68DB">
        <w:t xml:space="preserve">, with active production forestry being the land use on 22% of the catchment.  The absence of views from forestry was noted in the April 2013 meeting, but it is not clear what effort was made to rectify this.  By contrast considerable effort was made to re-engage other groups who were struggling with resourcing, such as Iwi farmers.  </w:t>
      </w:r>
      <w:r>
        <w:t>However e</w:t>
      </w:r>
      <w:r w:rsidR="001A40DA" w:rsidRPr="00CF68DB">
        <w:t xml:space="preserve">ven if the one forestry representative was able to attend all meetings and continue to advance a forestry view, </w:t>
      </w:r>
      <w:r>
        <w:t>i</w:t>
      </w:r>
      <w:r w:rsidRPr="00CF68DB">
        <w:t xml:space="preserve">t’s quite possible that </w:t>
      </w:r>
      <w:r w:rsidR="001A40DA" w:rsidRPr="00CF68DB">
        <w:t>that one voice among thirty</w:t>
      </w:r>
      <w:r w:rsidR="001A40DA" w:rsidRPr="00CF68DB">
        <w:rPr>
          <w:rStyle w:val="FootnoteReference"/>
        </w:rPr>
        <w:footnoteReference w:id="3"/>
      </w:r>
      <w:r w:rsidR="001A40DA" w:rsidRPr="00CF68DB">
        <w:t xml:space="preserve"> would still not have been heard.  </w:t>
      </w:r>
      <w:r w:rsidR="00E626E9" w:rsidRPr="00CF68DB">
        <w:t xml:space="preserve">The minutes of November 2014 note that </w:t>
      </w:r>
      <w:proofErr w:type="spellStart"/>
      <w:r w:rsidR="00E626E9" w:rsidRPr="00CF68DB">
        <w:rPr>
          <w:rFonts w:cs="Arial"/>
          <w:bCs/>
          <w:szCs w:val="22"/>
        </w:rPr>
        <w:t>StAG</w:t>
      </w:r>
      <w:proofErr w:type="spellEnd"/>
      <w:r w:rsidR="00E626E9" w:rsidRPr="00CF68DB">
        <w:rPr>
          <w:rFonts w:cs="Arial"/>
          <w:bCs/>
          <w:szCs w:val="22"/>
        </w:rPr>
        <w:t xml:space="preserve"> is about compromise and negotiation…to make recommendations on rules and incentive</w:t>
      </w:r>
      <w:r w:rsidR="000F26D1" w:rsidRPr="00CF68DB">
        <w:rPr>
          <w:rFonts w:cs="Arial"/>
          <w:bCs/>
          <w:szCs w:val="22"/>
        </w:rPr>
        <w:t>s</w:t>
      </w:r>
      <w:r w:rsidR="0086495F">
        <w:rPr>
          <w:rFonts w:cs="Arial"/>
          <w:bCs/>
          <w:szCs w:val="22"/>
        </w:rPr>
        <w:t>.  Such</w:t>
      </w:r>
      <w:r w:rsidR="00E626E9" w:rsidRPr="00CF68DB">
        <w:rPr>
          <w:rFonts w:cs="Arial"/>
          <w:bCs/>
          <w:szCs w:val="22"/>
        </w:rPr>
        <w:t xml:space="preserve"> </w:t>
      </w:r>
      <w:r w:rsidR="000F26D1" w:rsidRPr="00CF68DB">
        <w:rPr>
          <w:rFonts w:cs="Arial"/>
          <w:bCs/>
          <w:szCs w:val="22"/>
        </w:rPr>
        <w:t xml:space="preserve">negotiation </w:t>
      </w:r>
      <w:r w:rsidR="00E626E9" w:rsidRPr="00CF68DB">
        <w:rPr>
          <w:rFonts w:cs="Arial"/>
          <w:bCs/>
          <w:szCs w:val="22"/>
        </w:rPr>
        <w:t xml:space="preserve">is difficult </w:t>
      </w:r>
      <w:r>
        <w:rPr>
          <w:rFonts w:cs="Arial"/>
          <w:bCs/>
          <w:szCs w:val="22"/>
        </w:rPr>
        <w:t xml:space="preserve">without </w:t>
      </w:r>
      <w:r w:rsidR="00E626E9" w:rsidRPr="00CF68DB">
        <w:rPr>
          <w:rFonts w:cs="Arial"/>
          <w:bCs/>
          <w:szCs w:val="22"/>
        </w:rPr>
        <w:t xml:space="preserve">representation.  </w:t>
      </w:r>
      <w:r>
        <w:rPr>
          <w:rFonts w:cs="Arial"/>
          <w:bCs/>
          <w:szCs w:val="22"/>
        </w:rPr>
        <w:t>A</w:t>
      </w:r>
      <w:r w:rsidR="00AB5078" w:rsidRPr="00CF68DB">
        <w:rPr>
          <w:rFonts w:cs="Arial"/>
          <w:bCs/>
          <w:szCs w:val="22"/>
        </w:rPr>
        <w:t xml:space="preserve">dequate representation </w:t>
      </w:r>
      <w:r>
        <w:rPr>
          <w:rFonts w:cs="Arial"/>
          <w:bCs/>
          <w:szCs w:val="22"/>
        </w:rPr>
        <w:t xml:space="preserve">came up again </w:t>
      </w:r>
      <w:r w:rsidR="00AB5078" w:rsidRPr="00CF68DB">
        <w:rPr>
          <w:rFonts w:cs="Arial"/>
          <w:bCs/>
          <w:szCs w:val="22"/>
        </w:rPr>
        <w:t xml:space="preserve">in </w:t>
      </w:r>
      <w:proofErr w:type="spellStart"/>
      <w:r w:rsidR="00AB5078" w:rsidRPr="00CF68DB">
        <w:rPr>
          <w:rFonts w:cs="Arial"/>
          <w:bCs/>
          <w:szCs w:val="22"/>
        </w:rPr>
        <w:t>StAG</w:t>
      </w:r>
      <w:proofErr w:type="spellEnd"/>
      <w:r w:rsidR="00AB5078" w:rsidRPr="00CF68DB">
        <w:rPr>
          <w:rFonts w:cs="Arial"/>
          <w:bCs/>
          <w:szCs w:val="22"/>
        </w:rPr>
        <w:t xml:space="preserve"> July 2015 </w:t>
      </w:r>
      <w:r>
        <w:rPr>
          <w:rFonts w:cs="Arial"/>
          <w:bCs/>
          <w:szCs w:val="22"/>
        </w:rPr>
        <w:t xml:space="preserve">where the </w:t>
      </w:r>
      <w:r w:rsidR="00AB5078" w:rsidRPr="00CF68DB">
        <w:t xml:space="preserve">Farmer Collective members </w:t>
      </w:r>
      <w:r w:rsidR="000F26D1" w:rsidRPr="00CF68DB">
        <w:t xml:space="preserve">(LRPPC) </w:t>
      </w:r>
      <w:r w:rsidR="00AB5078" w:rsidRPr="00CF68DB">
        <w:t xml:space="preserve">emphasised </w:t>
      </w:r>
      <w:r w:rsidR="00AB5078" w:rsidRPr="00DC7337">
        <w:rPr>
          <w:i/>
        </w:rPr>
        <w:t xml:space="preserve">that “consensus” in </w:t>
      </w:r>
      <w:proofErr w:type="spellStart"/>
      <w:r w:rsidR="00AB5078" w:rsidRPr="00DC7337">
        <w:rPr>
          <w:i/>
        </w:rPr>
        <w:t>StAG</w:t>
      </w:r>
      <w:proofErr w:type="spellEnd"/>
      <w:r w:rsidR="00AB5078" w:rsidRPr="00DC7337">
        <w:rPr>
          <w:i/>
        </w:rPr>
        <w:t xml:space="preserve"> discussions does not mean a unanimous view, nor that any positions reached were agreed by people outside </w:t>
      </w:r>
      <w:proofErr w:type="spellStart"/>
      <w:r w:rsidR="00AB5078" w:rsidRPr="00DC7337">
        <w:rPr>
          <w:i/>
        </w:rPr>
        <w:t>StAG</w:t>
      </w:r>
      <w:proofErr w:type="spellEnd"/>
      <w:r w:rsidR="00AB5078" w:rsidRPr="00DC7337">
        <w:rPr>
          <w:i/>
        </w:rPr>
        <w:t>. Rather, it was a considered view that evolved over 2.5 years of intensive debate</w:t>
      </w:r>
      <w:r>
        <w:rPr>
          <w:i/>
        </w:rPr>
        <w:t>:</w:t>
      </w:r>
    </w:p>
    <w:p w:rsidR="00AB5078" w:rsidRPr="00DC7337" w:rsidRDefault="00AB5078" w:rsidP="00AB5078">
      <w:pPr>
        <w:ind w:left="720"/>
        <w:rPr>
          <w:i/>
        </w:rPr>
      </w:pPr>
      <w:r w:rsidRPr="00DC7337">
        <w:rPr>
          <w:i/>
        </w:rPr>
        <w:sym w:font="Symbol" w:char="F0B7"/>
      </w:r>
      <w:r w:rsidRPr="00DC7337">
        <w:rPr>
          <w:i/>
        </w:rPr>
        <w:t xml:space="preserve"> We need to acknowledge that we missed some things initially e.g. identifying equestrian activity as a more intensive land use which could have some concessionary rule. </w:t>
      </w:r>
    </w:p>
    <w:p w:rsidR="00AB5078" w:rsidRPr="00DC7337" w:rsidRDefault="00AB5078" w:rsidP="00AB5078">
      <w:pPr>
        <w:ind w:left="720"/>
        <w:rPr>
          <w:i/>
        </w:rPr>
      </w:pPr>
      <w:r w:rsidRPr="00DC7337">
        <w:rPr>
          <w:i/>
        </w:rPr>
        <w:sym w:font="Symbol" w:char="F0B7"/>
      </w:r>
      <w:r w:rsidRPr="00DC7337">
        <w:rPr>
          <w:i/>
        </w:rPr>
        <w:t xml:space="preserve"> Nearly three years of </w:t>
      </w:r>
      <w:proofErr w:type="spellStart"/>
      <w:r w:rsidRPr="00DC7337">
        <w:rPr>
          <w:i/>
        </w:rPr>
        <w:t>StAG</w:t>
      </w:r>
      <w:proofErr w:type="spellEnd"/>
      <w:r w:rsidRPr="00DC7337">
        <w:rPr>
          <w:i/>
        </w:rPr>
        <w:t xml:space="preserve"> is a substantial period, we were on track and we don’t want another 11th hour delay from another group who claims it hasn’t been heard. </w:t>
      </w:r>
    </w:p>
    <w:p w:rsidR="009A23F6" w:rsidRDefault="00AB5078" w:rsidP="00AB5078">
      <w:pPr>
        <w:ind w:left="720"/>
      </w:pPr>
      <w:r w:rsidRPr="00DC7337">
        <w:rPr>
          <w:i/>
        </w:rPr>
        <w:sym w:font="Symbol" w:char="F0B7"/>
      </w:r>
      <w:r w:rsidRPr="00DC7337">
        <w:rPr>
          <w:i/>
        </w:rPr>
        <w:t xml:space="preserve"> We need reassurance that no group’s input is missing, we need to understand the concerns, compile those and circulate a summary/table.</w:t>
      </w:r>
      <w:r w:rsidRPr="00CF68DB">
        <w:t xml:space="preserve">  </w:t>
      </w:r>
    </w:p>
    <w:p w:rsidR="00AB5078" w:rsidRPr="009A23F6" w:rsidRDefault="0086495F" w:rsidP="00D44C4C">
      <w:pPr>
        <w:pStyle w:val="ListParagraph"/>
        <w:ind w:left="501"/>
      </w:pPr>
      <w:r>
        <w:lastRenderedPageBreak/>
        <w:t xml:space="preserve">It’s difficult to understand or </w:t>
      </w:r>
      <w:r w:rsidR="00AB5078" w:rsidRPr="00CF68DB">
        <w:t xml:space="preserve">explain </w:t>
      </w:r>
      <w:r>
        <w:t xml:space="preserve">how </w:t>
      </w:r>
      <w:r w:rsidR="00AB5078" w:rsidRPr="00CF68DB">
        <w:t xml:space="preserve">a group casting around to make sure </w:t>
      </w:r>
      <w:r>
        <w:t xml:space="preserve">they had input from all groups still manages to miss that it hasn’t received </w:t>
      </w:r>
      <w:r w:rsidR="00CF68DB" w:rsidRPr="00CF68DB">
        <w:t xml:space="preserve">appropriate </w:t>
      </w:r>
      <w:r w:rsidR="00AB5078" w:rsidRPr="00CF68DB">
        <w:t xml:space="preserve">input from 22% of </w:t>
      </w:r>
      <w:r w:rsidR="00CF68DB" w:rsidRPr="00CF68DB">
        <w:t xml:space="preserve">productive catchment </w:t>
      </w:r>
      <w:r w:rsidR="00AB5078" w:rsidRPr="00CF68DB">
        <w:t>land use</w:t>
      </w:r>
      <w:r>
        <w:t>.</w:t>
      </w:r>
      <w:r w:rsidR="00AB5078" w:rsidRPr="00CF68DB">
        <w:t xml:space="preserve"> </w:t>
      </w:r>
    </w:p>
    <w:p w:rsidR="00CF68DB" w:rsidRPr="009A23F6" w:rsidRDefault="00CF68DB" w:rsidP="00CF68DB">
      <w:pPr>
        <w:rPr>
          <w:color w:val="000000" w:themeColor="text1"/>
        </w:rPr>
      </w:pPr>
    </w:p>
    <w:p w:rsidR="002371ED" w:rsidRPr="00CF68DB" w:rsidRDefault="00CF68DB" w:rsidP="00F8173A">
      <w:pPr>
        <w:pStyle w:val="ListParagraph"/>
        <w:numPr>
          <w:ilvl w:val="0"/>
          <w:numId w:val="28"/>
        </w:numPr>
        <w:rPr>
          <w:color w:val="000000" w:themeColor="text1"/>
        </w:rPr>
      </w:pPr>
      <w:r w:rsidRPr="009A23F6">
        <w:rPr>
          <w:color w:val="000000" w:themeColor="text1"/>
        </w:rPr>
        <w:t xml:space="preserve">In Stag August </w:t>
      </w:r>
      <w:r w:rsidR="00412ED0" w:rsidRPr="009A23F6">
        <w:rPr>
          <w:color w:val="000000" w:themeColor="text1"/>
        </w:rPr>
        <w:t>20</w:t>
      </w:r>
      <w:r w:rsidRPr="009A23F6">
        <w:rPr>
          <w:color w:val="000000" w:themeColor="text1"/>
        </w:rPr>
        <w:t>15 The Lake Rotorua Primary</w:t>
      </w:r>
      <w:r w:rsidRPr="00CF68DB">
        <w:rPr>
          <w:color w:val="000000" w:themeColor="text1"/>
        </w:rPr>
        <w:t xml:space="preserve"> Producers</w:t>
      </w:r>
      <w:r w:rsidRPr="00CF68DB">
        <w:rPr>
          <w:i/>
          <w:color w:val="000000" w:themeColor="text1"/>
        </w:rPr>
        <w:t xml:space="preserve"> </w:t>
      </w:r>
      <w:r w:rsidR="002371ED" w:rsidRPr="00CF68DB">
        <w:rPr>
          <w:color w:val="000000" w:themeColor="text1"/>
        </w:rPr>
        <w:t>Collective members noted that</w:t>
      </w:r>
      <w:r w:rsidRPr="00CF68DB">
        <w:rPr>
          <w:color w:val="000000" w:themeColor="text1"/>
        </w:rPr>
        <w:t xml:space="preserve"> [from their point of view] </w:t>
      </w:r>
      <w:r w:rsidRPr="00CF68DB">
        <w:rPr>
          <w:i/>
          <w:color w:val="000000" w:themeColor="text1"/>
        </w:rPr>
        <w:t>t</w:t>
      </w:r>
      <w:r w:rsidR="002371ED" w:rsidRPr="00CF68DB">
        <w:rPr>
          <w:i/>
          <w:color w:val="000000" w:themeColor="text1"/>
        </w:rPr>
        <w:t xml:space="preserve">he </w:t>
      </w:r>
      <w:proofErr w:type="spellStart"/>
      <w:r w:rsidR="002371ED" w:rsidRPr="00CF68DB">
        <w:rPr>
          <w:i/>
          <w:color w:val="000000" w:themeColor="text1"/>
        </w:rPr>
        <w:t>StAG</w:t>
      </w:r>
      <w:proofErr w:type="spellEnd"/>
      <w:r w:rsidR="002371ED" w:rsidRPr="00CF68DB">
        <w:rPr>
          <w:i/>
          <w:color w:val="000000" w:themeColor="text1"/>
        </w:rPr>
        <w:t xml:space="preserve"> process was and remains valid. </w:t>
      </w:r>
      <w:proofErr w:type="spellStart"/>
      <w:r w:rsidR="002371ED" w:rsidRPr="00CF68DB">
        <w:rPr>
          <w:i/>
          <w:color w:val="000000" w:themeColor="text1"/>
        </w:rPr>
        <w:t>StAG</w:t>
      </w:r>
      <w:proofErr w:type="spellEnd"/>
      <w:r w:rsidR="002371ED" w:rsidRPr="00CF68DB">
        <w:rPr>
          <w:i/>
          <w:color w:val="000000" w:themeColor="text1"/>
        </w:rPr>
        <w:t xml:space="preserve"> has enabled a lot of information sharing and the expression of frank opinions. It is a working group, not a “representative” group - it can’t be expected to cover all community voices</w:t>
      </w:r>
      <w:r>
        <w:rPr>
          <w:color w:val="000000" w:themeColor="text1"/>
        </w:rPr>
        <w:t>.  Foresters would beg to differ that they are merely “a community voice”.</w:t>
      </w:r>
      <w:r w:rsidR="002371ED" w:rsidRPr="00CF68DB">
        <w:rPr>
          <w:color w:val="000000" w:themeColor="text1"/>
        </w:rPr>
        <w:t xml:space="preserve"> </w:t>
      </w:r>
    </w:p>
    <w:p w:rsidR="004A02FA" w:rsidRDefault="004A02FA" w:rsidP="004A02FA"/>
    <w:p w:rsidR="004A02FA" w:rsidRDefault="00DD2655" w:rsidP="00DD2655">
      <w:pPr>
        <w:pStyle w:val="Heading3"/>
      </w:pPr>
      <w:bookmarkStart w:id="3" w:name="_Toc476575937"/>
      <w:r>
        <w:t>Effects of lack of understanding of forestry</w:t>
      </w:r>
      <w:bookmarkEnd w:id="3"/>
      <w:r>
        <w:t xml:space="preserve"> </w:t>
      </w:r>
    </w:p>
    <w:p w:rsidR="00F23A33" w:rsidRDefault="00DD2655" w:rsidP="00F8173A">
      <w:pPr>
        <w:pStyle w:val="ListParagraph"/>
        <w:numPr>
          <w:ilvl w:val="0"/>
          <w:numId w:val="28"/>
        </w:numPr>
      </w:pPr>
      <w:r>
        <w:t xml:space="preserve">It’s evident throughout the </w:t>
      </w:r>
      <w:r w:rsidR="00636F22">
        <w:t xml:space="preserve">policy development </w:t>
      </w:r>
      <w:r>
        <w:t xml:space="preserve">process that forestry is poorly understood and </w:t>
      </w:r>
      <w:r w:rsidR="000C1325">
        <w:t xml:space="preserve">its needs and effects </w:t>
      </w:r>
      <w:r w:rsidR="00FA6A9F">
        <w:t xml:space="preserve">were </w:t>
      </w:r>
      <w:r>
        <w:t>poorly characterised. Most assessment techniques used for the policy development have been design</w:t>
      </w:r>
      <w:r w:rsidR="00636F22">
        <w:t xml:space="preserve">ed or done </w:t>
      </w:r>
      <w:r>
        <w:t>for a farming context</w:t>
      </w:r>
      <w:r w:rsidR="00636F22">
        <w:t>.  I</w:t>
      </w:r>
      <w:r>
        <w:t>n several instances</w:t>
      </w:r>
      <w:r w:rsidR="00636F22">
        <w:t xml:space="preserve"> there is a co</w:t>
      </w:r>
      <w:r w:rsidR="00340C25">
        <w:t xml:space="preserve">nsiderable </w:t>
      </w:r>
      <w:r w:rsidR="00636F22">
        <w:t xml:space="preserve">disconnect between </w:t>
      </w:r>
      <w:r w:rsidR="005E0E71">
        <w:t xml:space="preserve">how </w:t>
      </w:r>
      <w:r w:rsidR="00636F22">
        <w:t>the two land uses</w:t>
      </w:r>
      <w:r w:rsidR="005E0E71">
        <w:t xml:space="preserve"> are described</w:t>
      </w:r>
      <w:r w:rsidR="00636F22">
        <w:t xml:space="preserve">, yet comparisons are done as though they are being treated equivalently.  Three areas that this is obvious are:  </w:t>
      </w:r>
    </w:p>
    <w:p w:rsidR="00DD2655" w:rsidRDefault="00A312D0" w:rsidP="008C516B">
      <w:pPr>
        <w:pStyle w:val="ListParagraph"/>
        <w:numPr>
          <w:ilvl w:val="0"/>
          <w:numId w:val="21"/>
        </w:numPr>
      </w:pPr>
      <w:r>
        <w:t>Relationship</w:t>
      </w:r>
      <w:r w:rsidR="00636F22">
        <w:t xml:space="preserve"> between land and crop.  In most farming instances the land owner is integrally involved with the crop, either actively doing it or in a close alliance with someone who is (e.g. </w:t>
      </w:r>
      <w:proofErr w:type="spellStart"/>
      <w:r w:rsidR="00636F22">
        <w:t>sharemilking</w:t>
      </w:r>
      <w:proofErr w:type="spellEnd"/>
      <w:r w:rsidR="00636F22">
        <w:t>).  For</w:t>
      </w:r>
      <w:r w:rsidR="008C516B">
        <w:t xml:space="preserve"> for</w:t>
      </w:r>
      <w:r w:rsidR="00636F22">
        <w:t>estry the land owner and the crop owner can be two completely different entities</w:t>
      </w:r>
      <w:r w:rsidR="008C516B">
        <w:t>,</w:t>
      </w:r>
      <w:r w:rsidR="00636F22">
        <w:t xml:space="preserve"> with the landowner having a fairly passive relationship with the crop owner.  </w:t>
      </w:r>
      <w:r w:rsidR="008C516B">
        <w:t xml:space="preserve"> </w:t>
      </w:r>
      <w:r w:rsidR="00636F22">
        <w:t xml:space="preserve">This is relevant for the nitrogen rules as these </w:t>
      </w:r>
      <w:r w:rsidR="00F23A33">
        <w:t>are tied to land, not crop.</w:t>
      </w:r>
      <w:r w:rsidR="008C516B">
        <w:t xml:space="preserve">  The </w:t>
      </w:r>
      <w:r w:rsidR="000C1325">
        <w:t>values</w:t>
      </w:r>
      <w:r w:rsidR="008C516B">
        <w:t xml:space="preserve"> of the land </w:t>
      </w:r>
      <w:r w:rsidR="000C1325">
        <w:t xml:space="preserve">owner </w:t>
      </w:r>
      <w:r w:rsidR="008C516B">
        <w:t>and crop owner could well be different.</w:t>
      </w:r>
      <w:r w:rsidR="00D30BC5">
        <w:t xml:space="preserve"> An example of this is the Telfer Young report </w:t>
      </w:r>
      <w:r w:rsidR="0023417E">
        <w:t>discussed</w:t>
      </w:r>
      <w:r w:rsidR="00D30BC5">
        <w:t xml:space="preserve"> at Feb 2015 </w:t>
      </w:r>
      <w:proofErr w:type="spellStart"/>
      <w:r w:rsidR="00D30BC5">
        <w:t>StA</w:t>
      </w:r>
      <w:r w:rsidR="0023417E">
        <w:t>G</w:t>
      </w:r>
      <w:proofErr w:type="spellEnd"/>
      <w:r w:rsidR="00D30BC5">
        <w:t xml:space="preserve"> meeting which did not look at costs to forested land</w:t>
      </w:r>
      <w:r w:rsidR="00081A7E">
        <w:t>:</w:t>
      </w:r>
      <w:r w:rsidR="00D30BC5">
        <w:t xml:space="preserve"> “</w:t>
      </w:r>
      <w:r w:rsidR="00D30BC5" w:rsidRPr="00D30BC5">
        <w:rPr>
          <w:i/>
        </w:rPr>
        <w:t xml:space="preserve">Forestry is not included in the analysis </w:t>
      </w:r>
      <w:r w:rsidR="00D30BC5" w:rsidRPr="00081A7E">
        <w:rPr>
          <w:i/>
        </w:rPr>
        <w:t>as the nutrient rule does not impact forestry</w:t>
      </w:r>
      <w:r w:rsidR="00D30BC5" w:rsidRPr="00D30BC5">
        <w:rPr>
          <w:i/>
        </w:rPr>
        <w:t xml:space="preserve"> because it’s a permitted activity</w:t>
      </w:r>
      <w:r w:rsidR="00D30BC5">
        <w:t xml:space="preserve">”.  </w:t>
      </w:r>
      <w:r w:rsidR="0023417E">
        <w:t>It’s true the rules do not affect the continuation of non-fertilised short rotation softwood regimes, but to dismiss the land use and land user aspirations for 22% of the catchment in this fashion points to a defective analysis.</w:t>
      </w:r>
    </w:p>
    <w:p w:rsidR="00F23A33" w:rsidRDefault="00F23A33" w:rsidP="008C516B">
      <w:pPr>
        <w:pStyle w:val="ListParagraph"/>
        <w:numPr>
          <w:ilvl w:val="0"/>
          <w:numId w:val="21"/>
        </w:numPr>
      </w:pPr>
      <w:r>
        <w:t xml:space="preserve">Modelling of the N effect of the crop. </w:t>
      </w:r>
      <w:r w:rsidR="00DD2655">
        <w:t>Overseer is designed for</w:t>
      </w:r>
      <w:r>
        <w:t xml:space="preserve"> pastoral land management comparisons.  It models answers to the question - if the farmer were to do </w:t>
      </w:r>
      <w:r w:rsidR="008C516B">
        <w:t>management regime X</w:t>
      </w:r>
      <w:r>
        <w:t xml:space="preserve"> or </w:t>
      </w:r>
      <w:r w:rsidR="008C516B">
        <w:t>management regime Y</w:t>
      </w:r>
      <w:r>
        <w:t xml:space="preserve">, what is the likely effect on the N leaving the property?  It is not designed for </w:t>
      </w:r>
      <w:r w:rsidR="005E0E71">
        <w:t xml:space="preserve">plantation </w:t>
      </w:r>
      <w:r>
        <w:t xml:space="preserve">forestry.  </w:t>
      </w:r>
      <w:r w:rsidR="008C516B">
        <w:t xml:space="preserve">Timberlands </w:t>
      </w:r>
      <w:r>
        <w:t>are unable to use it to model the nursery operation</w:t>
      </w:r>
      <w:r w:rsidR="00D40501">
        <w:t xml:space="preserve"> </w:t>
      </w:r>
      <w:r w:rsidR="005E0E71">
        <w:t xml:space="preserve">either, </w:t>
      </w:r>
      <w:r w:rsidR="00D40501">
        <w:t>as it is incompetent in that role</w:t>
      </w:r>
      <w:r>
        <w:t xml:space="preserve">. </w:t>
      </w:r>
      <w:r w:rsidR="00D40501">
        <w:t xml:space="preserve"> </w:t>
      </w:r>
      <w:r w:rsidR="000C1325">
        <w:t xml:space="preserve">The rules </w:t>
      </w:r>
      <w:r w:rsidR="005E0E71">
        <w:t xml:space="preserve">do </w:t>
      </w:r>
      <w:r w:rsidR="000C1325">
        <w:t xml:space="preserve">provide for use of </w:t>
      </w:r>
      <w:r w:rsidR="005E0E71">
        <w:t>alternatives</w:t>
      </w:r>
      <w:r w:rsidR="000C1325">
        <w:t xml:space="preserve"> to Overseer, in Rule </w:t>
      </w:r>
      <w:r w:rsidR="005E0E71">
        <w:t>LR R11.  But t</w:t>
      </w:r>
      <w:r>
        <w:t xml:space="preserve">here is no </w:t>
      </w:r>
      <w:r w:rsidR="00D40501">
        <w:t xml:space="preserve">explanation or </w:t>
      </w:r>
      <w:r>
        <w:t xml:space="preserve">guidance for </w:t>
      </w:r>
      <w:r w:rsidR="00D40501">
        <w:t xml:space="preserve">how </w:t>
      </w:r>
      <w:r>
        <w:t>inter-model correlation</w:t>
      </w:r>
      <w:r w:rsidR="00D40501">
        <w:t xml:space="preserve"> will work, to be able to be confident that N leaching modelling is </w:t>
      </w:r>
      <w:r w:rsidR="005E0E71">
        <w:t xml:space="preserve">accurately </w:t>
      </w:r>
      <w:r w:rsidR="00D40501">
        <w:t xml:space="preserve">corresponding in </w:t>
      </w:r>
      <w:r w:rsidR="00ED00DF">
        <w:t>both</w:t>
      </w:r>
      <w:r w:rsidR="00D40501">
        <w:t xml:space="preserve"> model</w:t>
      </w:r>
      <w:r w:rsidR="00ED00DF">
        <w:t>s</w:t>
      </w:r>
      <w:r>
        <w:t>.</w:t>
      </w:r>
      <w:r w:rsidR="00D40501">
        <w:t xml:space="preserve">  This is important</w:t>
      </w:r>
      <w:r w:rsidR="00ED00DF">
        <w:t>,</w:t>
      </w:r>
      <w:r w:rsidR="00D40501">
        <w:t xml:space="preserve"> as Overseer’s representation of N leaching substantially changes from version to version.</w:t>
      </w:r>
      <w:r w:rsidR="005E0E71">
        <w:t xml:space="preserve">  It is also important for forestry generally, as its allocation has been reduced from the</w:t>
      </w:r>
      <w:r w:rsidR="00F71708">
        <w:t xml:space="preserve"> “low leaching activity status set in </w:t>
      </w:r>
      <w:r w:rsidR="005E0E71">
        <w:t xml:space="preserve">Rule 11 </w:t>
      </w:r>
      <w:r w:rsidR="00F71708">
        <w:t xml:space="preserve">of 10kgN/Ha, </w:t>
      </w:r>
      <w:r w:rsidR="005E0E71">
        <w:t>to 2.5kg</w:t>
      </w:r>
      <w:r w:rsidR="00F71708">
        <w:t>N</w:t>
      </w:r>
      <w:r w:rsidR="005E0E71">
        <w:t xml:space="preserve">/Ha.  </w:t>
      </w:r>
      <w:r w:rsidR="00F71708">
        <w:t>Just for comparison t</w:t>
      </w:r>
      <w:r w:rsidR="005E0E71">
        <w:t>his makes it lower than native forest</w:t>
      </w:r>
      <w:r w:rsidR="00F71708">
        <w:t xml:space="preserve"> which has been set at 3kgN/Ha</w:t>
      </w:r>
      <w:r w:rsidR="005E0E71">
        <w:t>.</w:t>
      </w:r>
    </w:p>
    <w:p w:rsidR="002E7441" w:rsidRPr="00081A7E" w:rsidRDefault="00F23A33" w:rsidP="00081A7E">
      <w:pPr>
        <w:pStyle w:val="ListParagraph"/>
        <w:numPr>
          <w:ilvl w:val="0"/>
          <w:numId w:val="21"/>
        </w:numPr>
        <w:rPr>
          <w:i/>
          <w:szCs w:val="22"/>
        </w:rPr>
      </w:pPr>
      <w:r>
        <w:t xml:space="preserve">Economic effect of various policy options.  EBIT </w:t>
      </w:r>
      <w:r w:rsidR="008C516B">
        <w:t>(</w:t>
      </w:r>
      <w:r w:rsidR="008C516B" w:rsidRPr="00081A7E">
        <w:rPr>
          <w:color w:val="000000" w:themeColor="text1"/>
        </w:rPr>
        <w:t xml:space="preserve">earnings before interest and tax) </w:t>
      </w:r>
      <w:r>
        <w:t xml:space="preserve">has been used as </w:t>
      </w:r>
      <w:r w:rsidRPr="00081A7E">
        <w:rPr>
          <w:color w:val="000000" w:themeColor="text1"/>
        </w:rPr>
        <w:t>the methodology to assess f</w:t>
      </w:r>
      <w:r w:rsidR="00D40501" w:rsidRPr="00081A7E">
        <w:rPr>
          <w:color w:val="000000" w:themeColor="text1"/>
        </w:rPr>
        <w:t>arming</w:t>
      </w:r>
      <w:r w:rsidRPr="00081A7E">
        <w:rPr>
          <w:color w:val="000000" w:themeColor="text1"/>
        </w:rPr>
        <w:t xml:space="preserve"> profitability.  Forest</w:t>
      </w:r>
      <w:r w:rsidR="00081A7E" w:rsidRPr="00081A7E">
        <w:rPr>
          <w:color w:val="000000" w:themeColor="text1"/>
        </w:rPr>
        <w:t>ers</w:t>
      </w:r>
      <w:r w:rsidRPr="00081A7E">
        <w:rPr>
          <w:color w:val="000000" w:themeColor="text1"/>
        </w:rPr>
        <w:t xml:space="preserve"> use IRR</w:t>
      </w:r>
      <w:r w:rsidR="008C516B" w:rsidRPr="00081A7E">
        <w:rPr>
          <w:color w:val="000000" w:themeColor="text1"/>
        </w:rPr>
        <w:t xml:space="preserve"> (internal rate of return</w:t>
      </w:r>
      <w:r w:rsidRPr="00081A7E">
        <w:rPr>
          <w:color w:val="000000" w:themeColor="text1"/>
        </w:rPr>
        <w:t>)</w:t>
      </w:r>
      <w:r w:rsidR="002E7441" w:rsidRPr="00081A7E">
        <w:rPr>
          <w:color w:val="000000" w:themeColor="text1"/>
        </w:rPr>
        <w:t xml:space="preserve">. </w:t>
      </w:r>
      <w:r w:rsidR="00081A7E" w:rsidRPr="00081A7E">
        <w:rPr>
          <w:color w:val="000000" w:themeColor="text1"/>
        </w:rPr>
        <w:t>Scion will have used</w:t>
      </w:r>
      <w:r w:rsidR="00ED00DF" w:rsidRPr="00081A7E">
        <w:rPr>
          <w:color w:val="000000" w:themeColor="text1"/>
        </w:rPr>
        <w:t xml:space="preserve"> th</w:t>
      </w:r>
      <w:r w:rsidR="00081A7E" w:rsidRPr="00081A7E">
        <w:rPr>
          <w:color w:val="000000" w:themeColor="text1"/>
        </w:rPr>
        <w:t>at</w:t>
      </w:r>
      <w:r w:rsidR="00ED00DF" w:rsidRPr="00081A7E">
        <w:rPr>
          <w:color w:val="000000" w:themeColor="text1"/>
        </w:rPr>
        <w:t xml:space="preserve"> methodology to identify forestry economics in any material provided to Council</w:t>
      </w:r>
      <w:r w:rsidRPr="00081A7E">
        <w:rPr>
          <w:color w:val="000000" w:themeColor="text1"/>
        </w:rPr>
        <w:t>.</w:t>
      </w:r>
      <w:r w:rsidR="008C516B" w:rsidRPr="00081A7E">
        <w:rPr>
          <w:color w:val="000000" w:themeColor="text1"/>
        </w:rPr>
        <w:t xml:space="preserve">  </w:t>
      </w:r>
      <w:r w:rsidR="002E7441" w:rsidRPr="00081A7E">
        <w:rPr>
          <w:color w:val="000000" w:themeColor="text1"/>
        </w:rPr>
        <w:t xml:space="preserve">This difference of baseline hasn’t been recognised in the economic assessment done by Parsons, </w:t>
      </w:r>
      <w:proofErr w:type="spellStart"/>
      <w:r w:rsidR="002E7441" w:rsidRPr="00081A7E">
        <w:rPr>
          <w:color w:val="000000" w:themeColor="text1"/>
        </w:rPr>
        <w:t>Doole</w:t>
      </w:r>
      <w:proofErr w:type="spellEnd"/>
      <w:r w:rsidR="002E7441" w:rsidRPr="00081A7E">
        <w:rPr>
          <w:color w:val="000000" w:themeColor="text1"/>
        </w:rPr>
        <w:t xml:space="preserve"> and </w:t>
      </w:r>
      <w:proofErr w:type="spellStart"/>
      <w:r w:rsidR="002E7441" w:rsidRPr="00081A7E">
        <w:rPr>
          <w:color w:val="000000" w:themeColor="text1"/>
        </w:rPr>
        <w:t>Romera</w:t>
      </w:r>
      <w:proofErr w:type="spellEnd"/>
      <w:r w:rsidR="002E7441" w:rsidRPr="002E7441">
        <w:rPr>
          <w:rStyle w:val="FootnoteReference"/>
          <w:color w:val="000000" w:themeColor="text1"/>
        </w:rPr>
        <w:footnoteReference w:id="4"/>
      </w:r>
      <w:r w:rsidR="002E7441" w:rsidRPr="00081A7E">
        <w:rPr>
          <w:color w:val="000000" w:themeColor="text1"/>
        </w:rPr>
        <w:t xml:space="preserve">:  </w:t>
      </w:r>
      <w:r w:rsidR="002E7441" w:rsidRPr="00081A7E">
        <w:rPr>
          <w:i/>
          <w:szCs w:val="22"/>
        </w:rPr>
        <w:t xml:space="preserve">The method for developing this model involved: </w:t>
      </w:r>
    </w:p>
    <w:p w:rsidR="002E7441" w:rsidRPr="002E7441" w:rsidRDefault="002E7441" w:rsidP="00081A7E">
      <w:pPr>
        <w:pStyle w:val="ListParagraph"/>
        <w:autoSpaceDE w:val="0"/>
        <w:autoSpaceDN w:val="0"/>
        <w:adjustRightInd w:val="0"/>
        <w:ind w:left="1440"/>
        <w:rPr>
          <w:i/>
          <w:color w:val="000000"/>
        </w:rPr>
      </w:pPr>
      <w:r w:rsidRPr="002E7441">
        <w:rPr>
          <w:i/>
          <w:color w:val="000000"/>
        </w:rPr>
        <w:t>…4. Applying the modelling protocols to each farm system, using FARMAX*</w:t>
      </w:r>
      <w:r w:rsidRPr="002E7441">
        <w:rPr>
          <w:color w:val="000000"/>
        </w:rPr>
        <w:t xml:space="preserve"> [</w:t>
      </w:r>
      <w:r w:rsidRPr="002E7441">
        <w:rPr>
          <w:color w:val="000000"/>
          <w:highlight w:val="lightGray"/>
        </w:rPr>
        <w:t>which uses EBIT</w:t>
      </w:r>
      <w:r w:rsidRPr="002E7441">
        <w:rPr>
          <w:color w:val="000000"/>
        </w:rPr>
        <w:t>]</w:t>
      </w:r>
      <w:r w:rsidRPr="002E7441">
        <w:rPr>
          <w:i/>
          <w:color w:val="000000"/>
        </w:rPr>
        <w:t xml:space="preserve"> and OVERSEER (version 6.1.2), to establish relationships between profit and nitrogen leaching. </w:t>
      </w:r>
    </w:p>
    <w:p w:rsidR="002E7441" w:rsidRPr="002E7441" w:rsidRDefault="002E7441" w:rsidP="00081A7E">
      <w:pPr>
        <w:pStyle w:val="ListParagraph"/>
        <w:autoSpaceDE w:val="0"/>
        <w:autoSpaceDN w:val="0"/>
        <w:adjustRightInd w:val="0"/>
        <w:spacing w:after="167"/>
        <w:ind w:left="1440"/>
        <w:rPr>
          <w:i/>
        </w:rPr>
      </w:pPr>
      <w:r w:rsidRPr="002E7441">
        <w:rPr>
          <w:i/>
        </w:rPr>
        <w:t xml:space="preserve">5. Obtaining annualised forestry-profit information from SCION </w:t>
      </w:r>
      <w:r w:rsidRPr="002E7441">
        <w:t>[</w:t>
      </w:r>
      <w:r w:rsidRPr="002E7441">
        <w:rPr>
          <w:highlight w:val="lightGray"/>
        </w:rPr>
        <w:t>which uses IRR</w:t>
      </w:r>
      <w:r w:rsidRPr="002E7441">
        <w:t>]</w:t>
      </w:r>
      <w:r w:rsidRPr="002E7441">
        <w:rPr>
          <w:i/>
        </w:rPr>
        <w:t xml:space="preserve"> </w:t>
      </w:r>
    </w:p>
    <w:p w:rsidR="002E7441" w:rsidRPr="002E7441" w:rsidRDefault="002E7441" w:rsidP="00081A7E">
      <w:pPr>
        <w:pStyle w:val="ListParagraph"/>
        <w:autoSpaceDE w:val="0"/>
        <w:autoSpaceDN w:val="0"/>
        <w:adjustRightInd w:val="0"/>
        <w:spacing w:after="167"/>
        <w:ind w:left="1440"/>
      </w:pPr>
      <w:r w:rsidRPr="002E7441">
        <w:rPr>
          <w:i/>
        </w:rPr>
        <w:t xml:space="preserve">6. Obtaining data on the financial costs and benefits of land-use change from Waikato Regional Council. </w:t>
      </w:r>
      <w:r w:rsidRPr="002E7441">
        <w:t>[</w:t>
      </w:r>
      <w:r w:rsidR="00081A7E" w:rsidRPr="002E7441">
        <w:t>Which</w:t>
      </w:r>
      <w:r w:rsidRPr="002E7441">
        <w:t xml:space="preserve"> did not correct for the difference between IRR and EBIT]</w:t>
      </w:r>
    </w:p>
    <w:p w:rsidR="002E7441" w:rsidRPr="002E7441" w:rsidRDefault="002E7441" w:rsidP="00081A7E">
      <w:pPr>
        <w:pStyle w:val="ListParagraph"/>
        <w:autoSpaceDE w:val="0"/>
        <w:autoSpaceDN w:val="0"/>
        <w:adjustRightInd w:val="0"/>
        <w:ind w:left="1440"/>
        <w:rPr>
          <w:i/>
        </w:rPr>
      </w:pPr>
      <w:r w:rsidRPr="002E7441">
        <w:rPr>
          <w:i/>
        </w:rPr>
        <w:lastRenderedPageBreak/>
        <w:t xml:space="preserve">7. </w:t>
      </w:r>
      <w:r w:rsidRPr="002E7441">
        <w:rPr>
          <w:i/>
          <w:highlight w:val="lightGray"/>
        </w:rPr>
        <w:t>Integrating this information on profit</w:t>
      </w:r>
      <w:r w:rsidRPr="002E7441">
        <w:rPr>
          <w:i/>
        </w:rPr>
        <w:t xml:space="preserve"> and nitrogen leaching for individual farm types </w:t>
      </w:r>
      <w:r w:rsidRPr="002E7441">
        <w:rPr>
          <w:i/>
          <w:highlight w:val="lightGray"/>
        </w:rPr>
        <w:t>into an economic model describing the whole catchment</w:t>
      </w:r>
      <w:r w:rsidRPr="002E7441">
        <w:rPr>
          <w:i/>
        </w:rPr>
        <w:t xml:space="preserve">. </w:t>
      </w:r>
    </w:p>
    <w:p w:rsidR="002E7441" w:rsidRPr="002E7441" w:rsidRDefault="002E7441" w:rsidP="002E7441">
      <w:pPr>
        <w:pStyle w:val="ListParagraph"/>
        <w:rPr>
          <w:i/>
          <w:color w:val="000000" w:themeColor="text1"/>
        </w:rPr>
      </w:pPr>
    </w:p>
    <w:p w:rsidR="00DD2655" w:rsidRPr="00081A7E" w:rsidRDefault="0086495F" w:rsidP="00F8173A">
      <w:pPr>
        <w:pStyle w:val="ListParagraph"/>
        <w:numPr>
          <w:ilvl w:val="0"/>
          <w:numId w:val="28"/>
        </w:numPr>
      </w:pPr>
      <w:r>
        <w:rPr>
          <w:color w:val="000000" w:themeColor="text1"/>
        </w:rPr>
        <w:t>IRR includes a</w:t>
      </w:r>
      <w:r w:rsidR="008C516B" w:rsidRPr="00081A7E">
        <w:rPr>
          <w:color w:val="000000" w:themeColor="text1"/>
        </w:rPr>
        <w:t>ll</w:t>
      </w:r>
      <w:r w:rsidR="00F23A33" w:rsidRPr="00081A7E">
        <w:rPr>
          <w:color w:val="000000" w:themeColor="text1"/>
        </w:rPr>
        <w:t xml:space="preserve"> </w:t>
      </w:r>
      <w:r w:rsidR="00081A7E" w:rsidRPr="00081A7E">
        <w:rPr>
          <w:color w:val="000000" w:themeColor="text1"/>
        </w:rPr>
        <w:t xml:space="preserve">production </w:t>
      </w:r>
      <w:r w:rsidR="00F23A33" w:rsidRPr="00081A7E">
        <w:rPr>
          <w:color w:val="000000" w:themeColor="text1"/>
        </w:rPr>
        <w:t>costs</w:t>
      </w:r>
      <w:r>
        <w:rPr>
          <w:color w:val="000000" w:themeColor="text1"/>
        </w:rPr>
        <w:t>.</w:t>
      </w:r>
      <w:r w:rsidR="00F23A33" w:rsidRPr="00081A7E">
        <w:rPr>
          <w:color w:val="000000" w:themeColor="text1"/>
        </w:rPr>
        <w:t xml:space="preserve"> </w:t>
      </w:r>
      <w:r w:rsidR="00ED00DF" w:rsidRPr="00081A7E">
        <w:rPr>
          <w:color w:val="000000" w:themeColor="text1"/>
        </w:rPr>
        <w:t xml:space="preserve">Not so in </w:t>
      </w:r>
      <w:r w:rsidR="00F23A33" w:rsidRPr="00081A7E">
        <w:rPr>
          <w:color w:val="000000" w:themeColor="text1"/>
        </w:rPr>
        <w:t>EBIT</w:t>
      </w:r>
      <w:r w:rsidR="00ED00DF" w:rsidRPr="00081A7E">
        <w:rPr>
          <w:color w:val="000000" w:themeColor="text1"/>
        </w:rPr>
        <w:t>,</w:t>
      </w:r>
      <w:r w:rsidR="008C516B" w:rsidRPr="00081A7E">
        <w:rPr>
          <w:color w:val="000000" w:themeColor="text1"/>
        </w:rPr>
        <w:t xml:space="preserve"> </w:t>
      </w:r>
      <w:r w:rsidR="00ED00DF" w:rsidRPr="00081A7E">
        <w:rPr>
          <w:color w:val="000000" w:themeColor="text1"/>
        </w:rPr>
        <w:t xml:space="preserve">which </w:t>
      </w:r>
      <w:r w:rsidR="008C516B" w:rsidRPr="00081A7E">
        <w:rPr>
          <w:color w:val="000000" w:themeColor="text1"/>
        </w:rPr>
        <w:t>doesn’t include the</w:t>
      </w:r>
      <w:r w:rsidR="00F23A33" w:rsidRPr="00081A7E">
        <w:rPr>
          <w:color w:val="000000" w:themeColor="text1"/>
        </w:rPr>
        <w:t xml:space="preserve"> capital structure </w:t>
      </w:r>
      <w:r w:rsidR="00ED00DF" w:rsidRPr="00081A7E">
        <w:rPr>
          <w:color w:val="000000" w:themeColor="text1"/>
        </w:rPr>
        <w:t xml:space="preserve">for </w:t>
      </w:r>
      <w:r w:rsidR="00F23A33" w:rsidRPr="00081A7E">
        <w:rPr>
          <w:color w:val="000000" w:themeColor="text1"/>
        </w:rPr>
        <w:t>land and infrastructure</w:t>
      </w:r>
      <w:r w:rsidR="00F92A8B" w:rsidRPr="00081A7E">
        <w:rPr>
          <w:color w:val="000000" w:themeColor="text1"/>
        </w:rPr>
        <w:t xml:space="preserve"> or improvements or shares</w:t>
      </w:r>
      <w:r w:rsidR="00F23A33" w:rsidRPr="00081A7E">
        <w:rPr>
          <w:color w:val="000000" w:themeColor="text1"/>
        </w:rPr>
        <w:t xml:space="preserve">.  </w:t>
      </w:r>
      <w:r w:rsidR="002E7441" w:rsidRPr="00081A7E">
        <w:rPr>
          <w:color w:val="000000" w:themeColor="text1"/>
        </w:rPr>
        <w:t xml:space="preserve">This assessment </w:t>
      </w:r>
      <w:r>
        <w:rPr>
          <w:color w:val="000000" w:themeColor="text1"/>
        </w:rPr>
        <w:t xml:space="preserve">– a classic </w:t>
      </w:r>
      <w:r w:rsidRPr="00081A7E">
        <w:rPr>
          <w:color w:val="000000" w:themeColor="text1"/>
        </w:rPr>
        <w:t xml:space="preserve">apples with oranges </w:t>
      </w:r>
      <w:r>
        <w:rPr>
          <w:color w:val="000000" w:themeColor="text1"/>
        </w:rPr>
        <w:t xml:space="preserve">- </w:t>
      </w:r>
      <w:r w:rsidR="00F23A33" w:rsidRPr="00081A7E">
        <w:rPr>
          <w:color w:val="000000" w:themeColor="text1"/>
        </w:rPr>
        <w:t xml:space="preserve">will distort the relative value of these two land uses, and generally result in over-weighting the value of pastoral use.  </w:t>
      </w:r>
      <w:r w:rsidR="00ED00DF" w:rsidRPr="00081A7E">
        <w:rPr>
          <w:color w:val="000000" w:themeColor="text1"/>
        </w:rPr>
        <w:t xml:space="preserve">This </w:t>
      </w:r>
      <w:r>
        <w:rPr>
          <w:color w:val="000000" w:themeColor="text1"/>
        </w:rPr>
        <w:t xml:space="preserve">means that comparative </w:t>
      </w:r>
      <w:r w:rsidR="00ED00DF" w:rsidRPr="00081A7E">
        <w:rPr>
          <w:color w:val="000000" w:themeColor="text1"/>
        </w:rPr>
        <w:t>land use efficiency assessments</w:t>
      </w:r>
      <w:r>
        <w:rPr>
          <w:color w:val="000000" w:themeColor="text1"/>
        </w:rPr>
        <w:t xml:space="preserve"> will not be correct</w:t>
      </w:r>
      <w:r w:rsidR="00ED00DF" w:rsidRPr="00081A7E">
        <w:rPr>
          <w:color w:val="000000" w:themeColor="text1"/>
        </w:rPr>
        <w:t>.</w:t>
      </w:r>
      <w:r w:rsidR="00F92A8B" w:rsidRPr="00081A7E">
        <w:rPr>
          <w:color w:val="000000" w:themeColor="text1"/>
        </w:rPr>
        <w:t xml:space="preserve">  At Stag July 2015 Parsons identified that </w:t>
      </w:r>
      <w:proofErr w:type="gramStart"/>
      <w:r w:rsidR="00F92A8B" w:rsidRPr="00081A7E">
        <w:rPr>
          <w:i/>
          <w:color w:val="000000" w:themeColor="text1"/>
        </w:rPr>
        <w:t>The</w:t>
      </w:r>
      <w:proofErr w:type="gramEnd"/>
      <w:r w:rsidR="00F92A8B" w:rsidRPr="00081A7E">
        <w:rPr>
          <w:i/>
          <w:color w:val="000000" w:themeColor="text1"/>
        </w:rPr>
        <w:t xml:space="preserve"> analysis has expanded to cover impacts on land price, debt and equity. This is a novel area and the authors are constructing methods as we go.  </w:t>
      </w:r>
      <w:r w:rsidR="00F92A8B" w:rsidRPr="00081A7E">
        <w:rPr>
          <w:color w:val="000000" w:themeColor="text1"/>
        </w:rPr>
        <w:t xml:space="preserve"> </w:t>
      </w:r>
      <w:r>
        <w:rPr>
          <w:color w:val="000000" w:themeColor="text1"/>
        </w:rPr>
        <w:t>Why</w:t>
      </w:r>
      <w:r w:rsidR="003A662B">
        <w:rPr>
          <w:color w:val="000000" w:themeColor="text1"/>
        </w:rPr>
        <w:t xml:space="preserve"> make up new methods</w:t>
      </w:r>
      <w:r>
        <w:rPr>
          <w:color w:val="000000" w:themeColor="text1"/>
        </w:rPr>
        <w:t xml:space="preserve">?  </w:t>
      </w:r>
      <w:r w:rsidR="003A662B">
        <w:rPr>
          <w:color w:val="000000" w:themeColor="text1"/>
        </w:rPr>
        <w:t>If th</w:t>
      </w:r>
      <w:r w:rsidR="00760739" w:rsidRPr="00081A7E">
        <w:rPr>
          <w:color w:val="000000" w:themeColor="text1"/>
        </w:rPr>
        <w:t xml:space="preserve">ey </w:t>
      </w:r>
      <w:r w:rsidR="00F92A8B" w:rsidRPr="00081A7E">
        <w:rPr>
          <w:color w:val="000000" w:themeColor="text1"/>
        </w:rPr>
        <w:t>use</w:t>
      </w:r>
      <w:r w:rsidR="003A662B">
        <w:rPr>
          <w:color w:val="000000" w:themeColor="text1"/>
        </w:rPr>
        <w:t>d</w:t>
      </w:r>
      <w:r w:rsidR="00F92A8B" w:rsidRPr="00081A7E">
        <w:rPr>
          <w:color w:val="000000" w:themeColor="text1"/>
        </w:rPr>
        <w:t xml:space="preserve"> IRR</w:t>
      </w:r>
      <w:r w:rsidR="003A662B">
        <w:rPr>
          <w:color w:val="000000" w:themeColor="text1"/>
        </w:rPr>
        <w:t xml:space="preserve"> or NPV</w:t>
      </w:r>
      <w:r w:rsidR="002E7441" w:rsidRPr="00081A7E">
        <w:rPr>
          <w:color w:val="000000" w:themeColor="text1"/>
        </w:rPr>
        <w:t xml:space="preserve"> for pastoral land uses</w:t>
      </w:r>
      <w:r w:rsidR="003A662B">
        <w:rPr>
          <w:color w:val="000000" w:themeColor="text1"/>
        </w:rPr>
        <w:t xml:space="preserve">, it would </w:t>
      </w:r>
      <w:r w:rsidR="00F92A8B" w:rsidRPr="00081A7E">
        <w:rPr>
          <w:color w:val="000000" w:themeColor="text1"/>
        </w:rPr>
        <w:t>enabl</w:t>
      </w:r>
      <w:r w:rsidR="003A662B">
        <w:rPr>
          <w:color w:val="000000" w:themeColor="text1"/>
        </w:rPr>
        <w:t>e</w:t>
      </w:r>
      <w:r w:rsidR="00F92A8B" w:rsidRPr="00081A7E">
        <w:rPr>
          <w:color w:val="000000" w:themeColor="text1"/>
        </w:rPr>
        <w:t xml:space="preserve"> a genuine comparison of different land use </w:t>
      </w:r>
      <w:r w:rsidR="00EA1918" w:rsidRPr="00081A7E">
        <w:rPr>
          <w:color w:val="000000" w:themeColor="text1"/>
        </w:rPr>
        <w:t xml:space="preserve">gross margin or </w:t>
      </w:r>
      <w:r w:rsidR="00F92A8B" w:rsidRPr="00081A7E">
        <w:rPr>
          <w:color w:val="000000" w:themeColor="text1"/>
        </w:rPr>
        <w:t>profitability to be made.</w:t>
      </w:r>
    </w:p>
    <w:p w:rsidR="003C20B6" w:rsidRPr="00CA2F69" w:rsidRDefault="003C20B6" w:rsidP="003C20B6">
      <w:pPr>
        <w:pStyle w:val="Heading1"/>
        <w:rPr>
          <w:rFonts w:asciiTheme="minorHAnsi" w:hAnsiTheme="minorHAnsi"/>
          <w:b/>
          <w:sz w:val="28"/>
          <w:szCs w:val="28"/>
        </w:rPr>
      </w:pPr>
      <w:bookmarkStart w:id="4" w:name="_Toc476575938"/>
      <w:r w:rsidRPr="00CA2F69">
        <w:rPr>
          <w:rFonts w:asciiTheme="minorHAnsi" w:hAnsiTheme="minorHAnsi"/>
          <w:b/>
          <w:sz w:val="28"/>
          <w:szCs w:val="28"/>
        </w:rPr>
        <w:t xml:space="preserve">Policy </w:t>
      </w:r>
      <w:r w:rsidR="00BD2DBB">
        <w:rPr>
          <w:rFonts w:asciiTheme="minorHAnsi" w:hAnsiTheme="minorHAnsi"/>
          <w:b/>
          <w:sz w:val="28"/>
          <w:szCs w:val="28"/>
        </w:rPr>
        <w:t>Framework</w:t>
      </w:r>
      <w:bookmarkEnd w:id="4"/>
    </w:p>
    <w:p w:rsidR="00AC50DA" w:rsidRDefault="00AC50DA" w:rsidP="00C15ABB">
      <w:pPr>
        <w:ind w:left="142"/>
      </w:pPr>
    </w:p>
    <w:p w:rsidR="004E532C" w:rsidRDefault="004E532C" w:rsidP="00F8173A">
      <w:pPr>
        <w:pStyle w:val="Default"/>
        <w:numPr>
          <w:ilvl w:val="0"/>
          <w:numId w:val="28"/>
        </w:numPr>
        <w:rPr>
          <w:rFonts w:asciiTheme="minorHAnsi" w:hAnsiTheme="minorHAnsi"/>
          <w:sz w:val="22"/>
          <w:szCs w:val="22"/>
        </w:rPr>
      </w:pPr>
      <w:r w:rsidRPr="00BD2DBB">
        <w:rPr>
          <w:rFonts w:asciiTheme="minorHAnsi" w:hAnsiTheme="minorHAnsi"/>
          <w:sz w:val="22"/>
          <w:szCs w:val="22"/>
        </w:rPr>
        <w:t>Council explained that because the nitrogen reductions needed from r</w:t>
      </w:r>
      <w:r w:rsidR="00CA2F69" w:rsidRPr="00BD2DBB">
        <w:rPr>
          <w:rFonts w:asciiTheme="minorHAnsi" w:hAnsiTheme="minorHAnsi"/>
          <w:sz w:val="22"/>
          <w:szCs w:val="22"/>
        </w:rPr>
        <w:t>ural land and pastoral inputs are</w:t>
      </w:r>
      <w:r w:rsidRPr="00BD2DBB">
        <w:rPr>
          <w:rFonts w:asciiTheme="minorHAnsi" w:hAnsiTheme="minorHAnsi"/>
          <w:sz w:val="22"/>
          <w:szCs w:val="22"/>
        </w:rPr>
        <w:t xml:space="preserve"> well beyond what voluntary adoption of good practice can deliver</w:t>
      </w:r>
      <w:r w:rsidR="00BD2DBB" w:rsidRPr="00BD2DBB">
        <w:rPr>
          <w:rFonts w:asciiTheme="minorHAnsi" w:hAnsiTheme="minorHAnsi"/>
          <w:sz w:val="22"/>
          <w:szCs w:val="22"/>
        </w:rPr>
        <w:t>, new rules are required.</w:t>
      </w:r>
      <w:r w:rsidRPr="00BD2DBB">
        <w:rPr>
          <w:rFonts w:asciiTheme="minorHAnsi" w:hAnsiTheme="minorHAnsi"/>
          <w:sz w:val="22"/>
          <w:szCs w:val="22"/>
        </w:rPr>
        <w:t xml:space="preserve">  It identifies </w:t>
      </w:r>
      <w:r w:rsidR="00BD2DBB" w:rsidRPr="00BD2DBB">
        <w:rPr>
          <w:rFonts w:asciiTheme="minorHAnsi" w:hAnsiTheme="minorHAnsi"/>
          <w:sz w:val="22"/>
          <w:szCs w:val="22"/>
        </w:rPr>
        <w:t>that</w:t>
      </w:r>
      <w:r w:rsidRPr="00BD2DBB">
        <w:rPr>
          <w:rFonts w:asciiTheme="minorHAnsi" w:hAnsiTheme="minorHAnsi"/>
          <w:sz w:val="22"/>
          <w:szCs w:val="22"/>
        </w:rPr>
        <w:t xml:space="preserve"> </w:t>
      </w:r>
      <w:r w:rsidR="00953D1B" w:rsidRPr="00BD2DBB">
        <w:rPr>
          <w:rFonts w:asciiTheme="minorHAnsi" w:hAnsiTheme="minorHAnsi"/>
          <w:sz w:val="22"/>
          <w:szCs w:val="22"/>
        </w:rPr>
        <w:t xml:space="preserve">change in practice on rural land </w:t>
      </w:r>
      <w:r w:rsidR="00953D1B">
        <w:rPr>
          <w:rFonts w:asciiTheme="minorHAnsi" w:hAnsiTheme="minorHAnsi"/>
          <w:sz w:val="22"/>
          <w:szCs w:val="22"/>
        </w:rPr>
        <w:t xml:space="preserve">must reduce nitrogen exports by </w:t>
      </w:r>
      <w:r w:rsidRPr="00BD2DBB">
        <w:rPr>
          <w:rFonts w:asciiTheme="minorHAnsi" w:hAnsiTheme="minorHAnsi"/>
          <w:sz w:val="22"/>
          <w:szCs w:val="22"/>
        </w:rPr>
        <w:t>270</w:t>
      </w:r>
      <w:r w:rsidR="00243124" w:rsidRPr="00BD2DBB">
        <w:rPr>
          <w:rFonts w:asciiTheme="minorHAnsi" w:hAnsiTheme="minorHAnsi"/>
          <w:sz w:val="22"/>
          <w:szCs w:val="22"/>
        </w:rPr>
        <w:t>T</w:t>
      </w:r>
      <w:r w:rsidRPr="00BD2DBB">
        <w:rPr>
          <w:rFonts w:asciiTheme="minorHAnsi" w:hAnsiTheme="minorHAnsi"/>
          <w:sz w:val="22"/>
          <w:szCs w:val="22"/>
        </w:rPr>
        <w:t>.</w:t>
      </w:r>
      <w:r w:rsidR="008270D0" w:rsidRPr="00BD2DBB">
        <w:rPr>
          <w:rFonts w:asciiTheme="minorHAnsi" w:hAnsiTheme="minorHAnsi"/>
          <w:sz w:val="22"/>
          <w:szCs w:val="22"/>
        </w:rPr>
        <w:t xml:space="preserve">  </w:t>
      </w:r>
    </w:p>
    <w:p w:rsidR="00BD2DBB" w:rsidRPr="00BD2DBB" w:rsidRDefault="00BD2DBB" w:rsidP="00BD2DBB">
      <w:pPr>
        <w:pStyle w:val="Default"/>
        <w:ind w:left="502"/>
        <w:rPr>
          <w:rFonts w:asciiTheme="minorHAnsi" w:hAnsiTheme="minorHAnsi"/>
          <w:sz w:val="22"/>
          <w:szCs w:val="22"/>
        </w:rPr>
      </w:pPr>
    </w:p>
    <w:p w:rsidR="006208D6" w:rsidRDefault="00C63EEB" w:rsidP="00F8173A">
      <w:pPr>
        <w:pStyle w:val="ListParagraph"/>
        <w:numPr>
          <w:ilvl w:val="0"/>
          <w:numId w:val="28"/>
        </w:numPr>
      </w:pPr>
      <w:r>
        <w:t xml:space="preserve">Plan Change 10 </w:t>
      </w:r>
      <w:r w:rsidR="004E532C">
        <w:t xml:space="preserve">policy </w:t>
      </w:r>
      <w:r>
        <w:t xml:space="preserve">design </w:t>
      </w:r>
      <w:r w:rsidR="00D36B92">
        <w:t xml:space="preserve">choices </w:t>
      </w:r>
      <w:r w:rsidR="008444C7">
        <w:t xml:space="preserve">appears </w:t>
      </w:r>
      <w:r w:rsidR="004E532C">
        <w:t xml:space="preserve">to have </w:t>
      </w:r>
      <w:r w:rsidR="000C7EBA">
        <w:t xml:space="preserve">rapidly </w:t>
      </w:r>
      <w:r w:rsidR="00EA1918">
        <w:t xml:space="preserve">narrowed to </w:t>
      </w:r>
      <w:r w:rsidR="000C7EBA">
        <w:t xml:space="preserve">allocation </w:t>
      </w:r>
      <w:r w:rsidR="00BD2DBB">
        <w:t>as the mechanism</w:t>
      </w:r>
      <w:r w:rsidR="00953D1B">
        <w:t>,</w:t>
      </w:r>
      <w:r w:rsidR="008444C7">
        <w:t xml:space="preserve"> and an allocation regime based on </w:t>
      </w:r>
      <w:r w:rsidR="000C7EBA">
        <w:t xml:space="preserve">grandparenting.  </w:t>
      </w:r>
      <w:r w:rsidR="00EA1918">
        <w:t xml:space="preserve">Very little attention was paid </w:t>
      </w:r>
      <w:r w:rsidR="00FA6A9F">
        <w:t xml:space="preserve">to </w:t>
      </w:r>
      <w:r w:rsidR="00EA1918">
        <w:t>assessing</w:t>
      </w:r>
      <w:r w:rsidR="00FA6A9F">
        <w:t xml:space="preserve"> </w:t>
      </w:r>
      <w:r w:rsidR="00953D1B">
        <w:t xml:space="preserve">the alternative, of </w:t>
      </w:r>
      <w:r w:rsidR="00FA6A9F">
        <w:t xml:space="preserve">a fee regime.  </w:t>
      </w:r>
      <w:r w:rsidR="00D36B92">
        <w:t xml:space="preserve">Even though </w:t>
      </w:r>
      <w:r w:rsidR="00EA1918">
        <w:t xml:space="preserve">risks using an allocation regime </w:t>
      </w:r>
      <w:r w:rsidR="00FA6A9F">
        <w:t>w</w:t>
      </w:r>
      <w:r w:rsidR="00F80D36">
        <w:t>ere</w:t>
      </w:r>
      <w:r w:rsidR="00D36B92">
        <w:t xml:space="preserve"> identified, these were never considered thoroughly </w:t>
      </w:r>
      <w:r w:rsidR="00953D1B">
        <w:t>or</w:t>
      </w:r>
      <w:r w:rsidR="00D36B92">
        <w:t xml:space="preserve"> in aggregate.  Key risks identified were</w:t>
      </w:r>
      <w:r w:rsidR="00F80D36">
        <w:t>:</w:t>
      </w:r>
      <w:r w:rsidR="00FA6A9F">
        <w:t xml:space="preserve"> </w:t>
      </w:r>
      <w:r w:rsidR="00DB5C97">
        <w:t xml:space="preserve">risks </w:t>
      </w:r>
      <w:r w:rsidR="00EA1918">
        <w:t>if allocation</w:t>
      </w:r>
      <w:r w:rsidR="0053381D">
        <w:t xml:space="preserve"> must </w:t>
      </w:r>
      <w:r w:rsidR="00DB5C97">
        <w:t>respond to a</w:t>
      </w:r>
      <w:r w:rsidR="0053381D">
        <w:t xml:space="preserve"> change in a cap</w:t>
      </w:r>
      <w:r w:rsidR="00FA6A9F">
        <w:t xml:space="preserve"> </w:t>
      </w:r>
      <w:r w:rsidR="00953D1B">
        <w:t>(</w:t>
      </w:r>
      <w:r w:rsidR="0053381D">
        <w:t>as a result of changes in scientific understanding</w:t>
      </w:r>
      <w:r w:rsidR="00F80D36">
        <w:t xml:space="preserve"> on </w:t>
      </w:r>
      <w:r w:rsidR="00EA1918">
        <w:t>Lake processes</w:t>
      </w:r>
      <w:r w:rsidR="00953D1B">
        <w:t>);</w:t>
      </w:r>
      <w:r w:rsidR="00F80D36">
        <w:t xml:space="preserve"> and risks that </w:t>
      </w:r>
      <w:r w:rsidR="0035596E">
        <w:t xml:space="preserve">allocation </w:t>
      </w:r>
      <w:r w:rsidR="0053381D">
        <w:t xml:space="preserve">behaviour will be driven </w:t>
      </w:r>
      <w:r w:rsidR="00DB5C97">
        <w:t>to preserving individual or sectors’ position</w:t>
      </w:r>
      <w:r w:rsidR="00DB79B3">
        <w:t>, especially regarding trading</w:t>
      </w:r>
      <w:r w:rsidR="00953D1B">
        <w:t xml:space="preserve"> rather than toward reducing pollution</w:t>
      </w:r>
      <w:r w:rsidR="006208D6">
        <w:t xml:space="preserve">. </w:t>
      </w:r>
      <w:r w:rsidR="00DB5C97">
        <w:t xml:space="preserve"> </w:t>
      </w:r>
      <w:r w:rsidR="00F80D36">
        <w:t xml:space="preserve"> </w:t>
      </w:r>
      <w:r w:rsidR="00DB5C97">
        <w:t xml:space="preserve">It </w:t>
      </w:r>
      <w:r w:rsidR="00F80D36">
        <w:t>appears that the</w:t>
      </w:r>
      <w:r w:rsidR="00DB5C97">
        <w:t xml:space="preserve"> </w:t>
      </w:r>
      <w:r w:rsidR="00DE11F0">
        <w:t xml:space="preserve">aggregate effect of these </w:t>
      </w:r>
      <w:r w:rsidR="00DB5C97">
        <w:t>risks</w:t>
      </w:r>
      <w:r w:rsidR="00EA1918">
        <w:t xml:space="preserve"> which include:</w:t>
      </w:r>
      <w:r w:rsidR="00DE11F0">
        <w:t xml:space="preserve"> imperfect information, imprecise information, sticky markets</w:t>
      </w:r>
      <w:r w:rsidR="009A501E">
        <w:t>, significant wealth transfer or</w:t>
      </w:r>
      <w:r w:rsidR="00DE11F0">
        <w:t xml:space="preserve"> gaming</w:t>
      </w:r>
      <w:r w:rsidR="00EA1918">
        <w:t>,</w:t>
      </w:r>
      <w:r w:rsidR="00DE11F0">
        <w:t xml:space="preserve"> </w:t>
      </w:r>
      <w:r w:rsidR="00F80D36">
        <w:t xml:space="preserve">was not tested </w:t>
      </w:r>
      <w:r w:rsidR="00DB5C97">
        <w:t xml:space="preserve">against the </w:t>
      </w:r>
      <w:r w:rsidR="00F80D36">
        <w:t xml:space="preserve">likely </w:t>
      </w:r>
      <w:r w:rsidR="00DE11F0">
        <w:t>function</w:t>
      </w:r>
      <w:r w:rsidR="00F80D36">
        <w:t>ality</w:t>
      </w:r>
      <w:r w:rsidR="00DE11F0">
        <w:t xml:space="preserve"> of an allocation system</w:t>
      </w:r>
      <w:r w:rsidR="009A501E">
        <w:t xml:space="preserve">.  </w:t>
      </w:r>
      <w:r w:rsidR="00F80D36">
        <w:t xml:space="preserve">It is Timberlands view that such an analysis </w:t>
      </w:r>
      <w:r w:rsidR="009A501E">
        <w:t xml:space="preserve">would have shown </w:t>
      </w:r>
      <w:r w:rsidR="000C7EBA">
        <w:t xml:space="preserve">allocation </w:t>
      </w:r>
      <w:r w:rsidR="00953D1B">
        <w:t xml:space="preserve">as policy regime </w:t>
      </w:r>
      <w:r w:rsidR="00F80D36">
        <w:t xml:space="preserve">to be </w:t>
      </w:r>
      <w:r w:rsidR="009A501E">
        <w:t xml:space="preserve">so seriously flawed </w:t>
      </w:r>
      <w:r w:rsidR="00F80D36">
        <w:t>as to be ruled out</w:t>
      </w:r>
      <w:r w:rsidR="000C7EBA">
        <w:t xml:space="preserve">. </w:t>
      </w:r>
    </w:p>
    <w:p w:rsidR="0087545D" w:rsidRDefault="0087545D" w:rsidP="000816EE">
      <w:pPr>
        <w:rPr>
          <w:i/>
        </w:rPr>
      </w:pPr>
    </w:p>
    <w:p w:rsidR="00D55C11" w:rsidRPr="00EA1A90" w:rsidRDefault="00EA1918" w:rsidP="00F8173A">
      <w:pPr>
        <w:pStyle w:val="ListParagraph"/>
        <w:numPr>
          <w:ilvl w:val="0"/>
          <w:numId w:val="28"/>
        </w:numPr>
        <w:shd w:val="clear" w:color="auto" w:fill="FFFFFF"/>
        <w:textAlignment w:val="baseline"/>
        <w:rPr>
          <w:color w:val="000000" w:themeColor="text1"/>
        </w:rPr>
      </w:pPr>
      <w:r>
        <w:t>T</w:t>
      </w:r>
      <w:r w:rsidR="000E448F">
        <w:t>he section 32</w:t>
      </w:r>
      <w:r w:rsidR="00CE38D2">
        <w:rPr>
          <w:rStyle w:val="FootnoteReference"/>
        </w:rPr>
        <w:footnoteReference w:id="5"/>
      </w:r>
      <w:r w:rsidR="000E448F">
        <w:t xml:space="preserve"> report for Rule 11 and the </w:t>
      </w:r>
      <w:r w:rsidR="00350359">
        <w:t>2009</w:t>
      </w:r>
      <w:r w:rsidR="00350359">
        <w:rPr>
          <w:rStyle w:val="FootnoteReference"/>
        </w:rPr>
        <w:footnoteReference w:id="6"/>
      </w:r>
      <w:r w:rsidR="00350359">
        <w:t xml:space="preserve"> E</w:t>
      </w:r>
      <w:r w:rsidR="000E448F">
        <w:t>fficiency and effectiveness review</w:t>
      </w:r>
      <w:r w:rsidR="00D55C11">
        <w:t xml:space="preserve"> of Rule 11 both identified </w:t>
      </w:r>
      <w:r w:rsidR="000E448F">
        <w:t xml:space="preserve">that </w:t>
      </w:r>
      <w:r w:rsidR="00D028B5">
        <w:t xml:space="preserve">the </w:t>
      </w:r>
      <w:r w:rsidR="00D55C11">
        <w:t xml:space="preserve">“hold the line” </w:t>
      </w:r>
      <w:r w:rsidR="00D028B5">
        <w:t xml:space="preserve">approach used for </w:t>
      </w:r>
      <w:r w:rsidR="00D55C11">
        <w:t xml:space="preserve">Rule 11 was only meant to be </w:t>
      </w:r>
      <w:r w:rsidR="000E448F">
        <w:t>a stop-gap measure</w:t>
      </w:r>
      <w:r w:rsidR="00D55C11">
        <w:t xml:space="preserve"> until a fairer regime was developed.</w:t>
      </w:r>
      <w:r w:rsidR="000E448F">
        <w:t xml:space="preserve"> </w:t>
      </w:r>
      <w:r w:rsidR="00D55C11">
        <w:t xml:space="preserve"> Sector averaging is not a fairer regime. </w:t>
      </w:r>
      <w:r w:rsidR="000E448F">
        <w:t xml:space="preserve">  </w:t>
      </w:r>
      <w:r w:rsidR="00D55C11">
        <w:t>Forestry’s preference was that if an allocation regime was to be used, that it be based on natural capi</w:t>
      </w:r>
      <w:r w:rsidR="00A41E24">
        <w:t>t</w:t>
      </w:r>
      <w:r w:rsidR="00D55C11">
        <w:t xml:space="preserve">al.   It is clear that there was considerable unease in </w:t>
      </w:r>
      <w:proofErr w:type="spellStart"/>
      <w:r w:rsidR="00D55C11">
        <w:t>StAG</w:t>
      </w:r>
      <w:proofErr w:type="spellEnd"/>
      <w:r w:rsidR="00D55C11">
        <w:t xml:space="preserve"> and in the wider community that sector averaging was being investigated as the preferred method.  </w:t>
      </w:r>
      <w:r w:rsidR="00D55C11" w:rsidRPr="00953D1B">
        <w:rPr>
          <w:color w:val="000000" w:themeColor="text1"/>
        </w:rPr>
        <w:t xml:space="preserve">Stag Sept 2015 minutes note: </w:t>
      </w:r>
      <w:r w:rsidR="00D55C11" w:rsidRPr="00953D1B">
        <w:rPr>
          <w:i/>
          <w:color w:val="000000" w:themeColor="text1"/>
        </w:rPr>
        <w:t>Natural Capital allocation was discussed in depth and there was support from many attendees as the best long-term solution</w:t>
      </w:r>
      <w:r w:rsidR="00636723">
        <w:rPr>
          <w:i/>
          <w:color w:val="000000" w:themeColor="text1"/>
        </w:rPr>
        <w:t>.</w:t>
      </w:r>
    </w:p>
    <w:p w:rsidR="00EA1A90" w:rsidRPr="00EA1A90" w:rsidRDefault="00EA1A90" w:rsidP="00EA1A90">
      <w:pPr>
        <w:pStyle w:val="ListParagraph"/>
        <w:ind w:left="501"/>
        <w:rPr>
          <w:color w:val="000000" w:themeColor="text1"/>
        </w:rPr>
      </w:pPr>
    </w:p>
    <w:p w:rsidR="00EA1A90" w:rsidRPr="00EA1A90" w:rsidRDefault="00EA1A90" w:rsidP="00F8173A">
      <w:pPr>
        <w:pStyle w:val="ListParagraph"/>
        <w:numPr>
          <w:ilvl w:val="0"/>
          <w:numId w:val="28"/>
        </w:numPr>
        <w:shd w:val="clear" w:color="auto" w:fill="FFFFFF"/>
        <w:textAlignment w:val="baseline"/>
        <w:rPr>
          <w:color w:val="000000" w:themeColor="text1"/>
        </w:rPr>
      </w:pPr>
      <w:r w:rsidRPr="00EA1A90">
        <w:rPr>
          <w:color w:val="000000" w:themeColor="text1"/>
        </w:rPr>
        <w:t xml:space="preserve">There are broader “NZ </w:t>
      </w:r>
      <w:proofErr w:type="spellStart"/>
      <w:r w:rsidRPr="00EA1A90">
        <w:rPr>
          <w:color w:val="000000" w:themeColor="text1"/>
        </w:rPr>
        <w:t>Inc</w:t>
      </w:r>
      <w:proofErr w:type="spellEnd"/>
      <w:r w:rsidRPr="00EA1A90">
        <w:rPr>
          <w:color w:val="000000" w:themeColor="text1"/>
        </w:rPr>
        <w:t>” and environmental benefits of natural capital N allocation.  It does not reward polluters</w:t>
      </w:r>
      <w:r w:rsidR="00BD4CA0">
        <w:rPr>
          <w:color w:val="000000" w:themeColor="text1"/>
        </w:rPr>
        <w:t xml:space="preserve"> and i</w:t>
      </w:r>
      <w:r>
        <w:rPr>
          <w:color w:val="000000" w:themeColor="text1"/>
        </w:rPr>
        <w:t xml:space="preserve">t </w:t>
      </w:r>
      <w:r w:rsidRPr="00EA1A90">
        <w:rPr>
          <w:color w:val="000000" w:themeColor="text1"/>
        </w:rPr>
        <w:t xml:space="preserve">does not penalise conservative </w:t>
      </w:r>
      <w:r w:rsidR="00D577AB">
        <w:rPr>
          <w:color w:val="000000" w:themeColor="text1"/>
        </w:rPr>
        <w:t xml:space="preserve">land use </w:t>
      </w:r>
      <w:r w:rsidRPr="00EA1A90">
        <w:rPr>
          <w:color w:val="000000" w:themeColor="text1"/>
        </w:rPr>
        <w:t>behaviour</w:t>
      </w:r>
      <w:r w:rsidR="00D577AB">
        <w:rPr>
          <w:color w:val="000000" w:themeColor="text1"/>
        </w:rPr>
        <w:t xml:space="preserve">, thus it </w:t>
      </w:r>
      <w:r w:rsidRPr="00EA1A90">
        <w:rPr>
          <w:color w:val="000000" w:themeColor="text1"/>
        </w:rPr>
        <w:t xml:space="preserve">does not </w:t>
      </w:r>
      <w:r w:rsidR="00BD4CA0">
        <w:rPr>
          <w:color w:val="000000" w:themeColor="text1"/>
        </w:rPr>
        <w:t xml:space="preserve">add insult to injury for </w:t>
      </w:r>
      <w:r w:rsidRPr="00EA1A90">
        <w:rPr>
          <w:color w:val="000000" w:themeColor="text1"/>
        </w:rPr>
        <w:t>owners of undeveloped land</w:t>
      </w:r>
      <w:r w:rsidR="00D577AB">
        <w:rPr>
          <w:color w:val="000000" w:themeColor="text1"/>
        </w:rPr>
        <w:t xml:space="preserve">. </w:t>
      </w:r>
      <w:r w:rsidR="00BD4CA0">
        <w:rPr>
          <w:color w:val="000000" w:themeColor="text1"/>
        </w:rPr>
        <w:t xml:space="preserve"> Using the incentives fund i</w:t>
      </w:r>
      <w:r w:rsidR="00D577AB">
        <w:rPr>
          <w:color w:val="000000" w:themeColor="text1"/>
        </w:rPr>
        <w:t xml:space="preserve">t would have been possible to create a transition pathway from </w:t>
      </w:r>
      <w:r w:rsidR="00BD4CA0">
        <w:rPr>
          <w:color w:val="000000" w:themeColor="text1"/>
        </w:rPr>
        <w:t xml:space="preserve">the </w:t>
      </w:r>
      <w:r w:rsidR="00D577AB">
        <w:rPr>
          <w:color w:val="000000" w:themeColor="text1"/>
        </w:rPr>
        <w:t xml:space="preserve">existing non-sustainable land uses to ones that use a natural capital approach, but the Plan Change does not do this. </w:t>
      </w:r>
      <w:r w:rsidRPr="00EA1A90">
        <w:rPr>
          <w:color w:val="000000" w:themeColor="text1"/>
        </w:rPr>
        <w:t xml:space="preserve"> The </w:t>
      </w:r>
      <w:r w:rsidR="00BD4CA0">
        <w:rPr>
          <w:color w:val="000000" w:themeColor="text1"/>
        </w:rPr>
        <w:t xml:space="preserve">impacts of </w:t>
      </w:r>
      <w:r w:rsidR="00D577AB">
        <w:rPr>
          <w:color w:val="000000" w:themeColor="text1"/>
        </w:rPr>
        <w:t>us</w:t>
      </w:r>
      <w:r w:rsidR="00BD4CA0">
        <w:rPr>
          <w:color w:val="000000" w:themeColor="text1"/>
        </w:rPr>
        <w:t>ing</w:t>
      </w:r>
      <w:r w:rsidR="00D577AB">
        <w:rPr>
          <w:color w:val="000000" w:themeColor="text1"/>
        </w:rPr>
        <w:t xml:space="preserve"> sector averaging </w:t>
      </w:r>
      <w:r w:rsidRPr="00EA1A90">
        <w:rPr>
          <w:color w:val="000000" w:themeColor="text1"/>
        </w:rPr>
        <w:t xml:space="preserve">have </w:t>
      </w:r>
      <w:r w:rsidR="00BD4CA0">
        <w:rPr>
          <w:color w:val="000000" w:themeColor="text1"/>
        </w:rPr>
        <w:t xml:space="preserve">only </w:t>
      </w:r>
      <w:r w:rsidRPr="00EA1A90">
        <w:rPr>
          <w:color w:val="000000" w:themeColor="text1"/>
        </w:rPr>
        <w:t xml:space="preserve">been </w:t>
      </w:r>
      <w:r w:rsidR="00BD4CA0">
        <w:rPr>
          <w:color w:val="000000" w:themeColor="text1"/>
        </w:rPr>
        <w:t xml:space="preserve">partially </w:t>
      </w:r>
      <w:r w:rsidRPr="00EA1A90">
        <w:rPr>
          <w:color w:val="000000" w:themeColor="text1"/>
        </w:rPr>
        <w:t>identified in the section 32 and 42</w:t>
      </w:r>
      <w:r w:rsidR="00BD4CA0">
        <w:rPr>
          <w:color w:val="000000" w:themeColor="text1"/>
        </w:rPr>
        <w:t>A</w:t>
      </w:r>
      <w:r w:rsidRPr="00EA1A90">
        <w:rPr>
          <w:color w:val="000000" w:themeColor="text1"/>
        </w:rPr>
        <w:t xml:space="preserve"> reports</w:t>
      </w:r>
      <w:r w:rsidR="00BD4CA0">
        <w:rPr>
          <w:color w:val="000000" w:themeColor="text1"/>
        </w:rPr>
        <w:t xml:space="preserve">.  Neither report adequately </w:t>
      </w:r>
      <w:r w:rsidRPr="00EA1A90">
        <w:rPr>
          <w:color w:val="000000" w:themeColor="text1"/>
        </w:rPr>
        <w:t>quantifie</w:t>
      </w:r>
      <w:r w:rsidR="00BD4CA0">
        <w:rPr>
          <w:color w:val="000000" w:themeColor="text1"/>
        </w:rPr>
        <w:t>s</w:t>
      </w:r>
      <w:r w:rsidRPr="00EA1A90">
        <w:rPr>
          <w:color w:val="000000" w:themeColor="text1"/>
        </w:rPr>
        <w:t xml:space="preserve"> or addresse</w:t>
      </w:r>
      <w:r w:rsidR="00BD4CA0">
        <w:rPr>
          <w:color w:val="000000" w:themeColor="text1"/>
        </w:rPr>
        <w:t xml:space="preserve">s </w:t>
      </w:r>
      <w:r w:rsidRPr="00EA1A90">
        <w:rPr>
          <w:color w:val="000000" w:themeColor="text1"/>
        </w:rPr>
        <w:t>the potential level of their economic impacts.</w:t>
      </w:r>
    </w:p>
    <w:p w:rsidR="00A41E24" w:rsidRDefault="00A41E24" w:rsidP="00B93612">
      <w:pPr>
        <w:pStyle w:val="ListParagraph"/>
        <w:ind w:left="501"/>
        <w:rPr>
          <w:i/>
          <w:szCs w:val="22"/>
        </w:rPr>
      </w:pPr>
    </w:p>
    <w:p w:rsidR="004A02FA" w:rsidRDefault="004A02FA" w:rsidP="00F8173A">
      <w:pPr>
        <w:pStyle w:val="ListParagraph"/>
        <w:numPr>
          <w:ilvl w:val="0"/>
          <w:numId w:val="28"/>
        </w:numPr>
        <w:rPr>
          <w:color w:val="000000" w:themeColor="text1"/>
        </w:rPr>
      </w:pPr>
      <w:r w:rsidRPr="00464529">
        <w:rPr>
          <w:color w:val="000000" w:themeColor="text1"/>
        </w:rPr>
        <w:t>The Rule 11 benchmark was used as the Plan Change 10 benchmark</w:t>
      </w:r>
      <w:r w:rsidR="00A312D0">
        <w:rPr>
          <w:color w:val="000000" w:themeColor="text1"/>
        </w:rPr>
        <w:t xml:space="preserve">.  Forestry </w:t>
      </w:r>
      <w:r w:rsidR="0047782E">
        <w:rPr>
          <w:color w:val="000000" w:themeColor="text1"/>
        </w:rPr>
        <w:t xml:space="preserve">was originally beneath a level of interest or concern to Council (at less than 10kg/Ha) and therefore appears </w:t>
      </w:r>
      <w:r w:rsidR="00A312D0">
        <w:rPr>
          <w:color w:val="000000" w:themeColor="text1"/>
        </w:rPr>
        <w:t xml:space="preserve">it may not have </w:t>
      </w:r>
      <w:r w:rsidR="00A312D0">
        <w:rPr>
          <w:color w:val="000000" w:themeColor="text1"/>
        </w:rPr>
        <w:lastRenderedPageBreak/>
        <w:t xml:space="preserve">been </w:t>
      </w:r>
      <w:r w:rsidR="0047782E">
        <w:rPr>
          <w:color w:val="000000" w:themeColor="text1"/>
        </w:rPr>
        <w:t xml:space="preserve">characterised.  </w:t>
      </w:r>
      <w:r w:rsidR="00EE429E">
        <w:rPr>
          <w:color w:val="000000" w:themeColor="text1"/>
        </w:rPr>
        <w:t xml:space="preserve">Overseer is not design for assessing forestry and as of 6/3/17 there was still no technical advice produced by Overseer to assist in making such an assessment.  </w:t>
      </w:r>
      <w:r w:rsidR="00B11555">
        <w:rPr>
          <w:color w:val="000000" w:themeColor="text1"/>
        </w:rPr>
        <w:t xml:space="preserve">The </w:t>
      </w:r>
      <w:r w:rsidR="000746C0">
        <w:rPr>
          <w:color w:val="000000" w:themeColor="text1"/>
        </w:rPr>
        <w:t xml:space="preserve">nitrate loss </w:t>
      </w:r>
      <w:r w:rsidR="00B11555">
        <w:rPr>
          <w:color w:val="000000" w:themeColor="text1"/>
        </w:rPr>
        <w:t xml:space="preserve">of </w:t>
      </w:r>
      <w:r w:rsidR="00EE429E">
        <w:rPr>
          <w:color w:val="000000" w:themeColor="text1"/>
        </w:rPr>
        <w:t>forestry</w:t>
      </w:r>
      <w:r w:rsidR="00B11555">
        <w:rPr>
          <w:color w:val="000000" w:themeColor="text1"/>
        </w:rPr>
        <w:t xml:space="preserve">, </w:t>
      </w:r>
      <w:r w:rsidR="000746C0">
        <w:rPr>
          <w:color w:val="000000" w:themeColor="text1"/>
        </w:rPr>
        <w:t>represent</w:t>
      </w:r>
      <w:r w:rsidR="00B11555">
        <w:rPr>
          <w:color w:val="000000" w:themeColor="text1"/>
        </w:rPr>
        <w:t xml:space="preserve">ing </w:t>
      </w:r>
      <w:r w:rsidR="000746C0">
        <w:rPr>
          <w:color w:val="000000" w:themeColor="text1"/>
        </w:rPr>
        <w:t>nothing more than atmospheric nitrogen transport</w:t>
      </w:r>
      <w:r w:rsidR="00B11555">
        <w:rPr>
          <w:color w:val="000000" w:themeColor="text1"/>
        </w:rPr>
        <w:t>,</w:t>
      </w:r>
      <w:r w:rsidR="000746C0">
        <w:rPr>
          <w:color w:val="000000" w:themeColor="text1"/>
        </w:rPr>
        <w:t xml:space="preserve"> now has such a </w:t>
      </w:r>
      <w:r w:rsidRPr="00464529">
        <w:rPr>
          <w:color w:val="000000" w:themeColor="text1"/>
        </w:rPr>
        <w:t>constraint that</w:t>
      </w:r>
      <w:r w:rsidR="00B11555">
        <w:rPr>
          <w:color w:val="000000" w:themeColor="text1"/>
        </w:rPr>
        <w:t xml:space="preserve"> it </w:t>
      </w:r>
      <w:r w:rsidR="00953D1B">
        <w:rPr>
          <w:color w:val="000000" w:themeColor="text1"/>
        </w:rPr>
        <w:t xml:space="preserve">would not </w:t>
      </w:r>
      <w:r w:rsidR="000746C0">
        <w:rPr>
          <w:color w:val="000000" w:themeColor="text1"/>
        </w:rPr>
        <w:t xml:space="preserve">be </w:t>
      </w:r>
      <w:r w:rsidR="00953D1B">
        <w:rPr>
          <w:color w:val="000000" w:themeColor="text1"/>
        </w:rPr>
        <w:t xml:space="preserve">able to be </w:t>
      </w:r>
      <w:r w:rsidR="000746C0">
        <w:rPr>
          <w:color w:val="000000" w:themeColor="text1"/>
        </w:rPr>
        <w:t xml:space="preserve">used for </w:t>
      </w:r>
      <w:r w:rsidR="00636723">
        <w:rPr>
          <w:color w:val="000000" w:themeColor="text1"/>
        </w:rPr>
        <w:t xml:space="preserve">even </w:t>
      </w:r>
      <w:r w:rsidR="000746C0">
        <w:rPr>
          <w:color w:val="000000" w:themeColor="text1"/>
        </w:rPr>
        <w:t>other variants on forestry</w:t>
      </w:r>
      <w:r w:rsidR="00B11555">
        <w:rPr>
          <w:color w:val="000000" w:themeColor="text1"/>
        </w:rPr>
        <w:t>.  Any</w:t>
      </w:r>
      <w:r w:rsidR="000746C0">
        <w:rPr>
          <w:color w:val="000000" w:themeColor="text1"/>
        </w:rPr>
        <w:t xml:space="preserve"> such </w:t>
      </w:r>
      <w:r w:rsidRPr="00464529">
        <w:rPr>
          <w:color w:val="000000" w:themeColor="text1"/>
        </w:rPr>
        <w:t xml:space="preserve">other land uses would potentially leach a greater amount of nitrogen.  </w:t>
      </w:r>
      <w:r w:rsidR="000746C0">
        <w:rPr>
          <w:color w:val="000000" w:themeColor="text1"/>
        </w:rPr>
        <w:t>Given the accuracy of Overseer outputs, the amount allocated to forestry</w:t>
      </w:r>
      <w:r w:rsidR="00B11555">
        <w:rPr>
          <w:color w:val="000000" w:themeColor="text1"/>
        </w:rPr>
        <w:t xml:space="preserve"> now is substantially less than t</w:t>
      </w:r>
      <w:r w:rsidR="000746C0">
        <w:rPr>
          <w:color w:val="000000" w:themeColor="text1"/>
        </w:rPr>
        <w:t xml:space="preserve">he margin of error.  By contrast, high leaching land uses who did not </w:t>
      </w:r>
      <w:r w:rsidR="00AD2CB1">
        <w:rPr>
          <w:color w:val="000000" w:themeColor="text1"/>
        </w:rPr>
        <w:t>follow the rule 11</w:t>
      </w:r>
      <w:r w:rsidR="00EE429E">
        <w:rPr>
          <w:color w:val="000000" w:themeColor="text1"/>
        </w:rPr>
        <w:t xml:space="preserve"> </w:t>
      </w:r>
      <w:r w:rsidR="00B11555">
        <w:rPr>
          <w:color w:val="000000" w:themeColor="text1"/>
        </w:rPr>
        <w:t>benchmarking process</w:t>
      </w:r>
      <w:r w:rsidRPr="00464529">
        <w:rPr>
          <w:color w:val="000000" w:themeColor="text1"/>
        </w:rPr>
        <w:t xml:space="preserve"> have been given a retrospectively assessed benchmark of </w:t>
      </w:r>
      <w:r w:rsidR="00EE429E">
        <w:rPr>
          <w:color w:val="000000" w:themeColor="text1"/>
        </w:rPr>
        <w:t xml:space="preserve">over </w:t>
      </w:r>
      <w:r w:rsidRPr="00464529">
        <w:rPr>
          <w:color w:val="000000" w:themeColor="text1"/>
        </w:rPr>
        <w:t>1</w:t>
      </w:r>
      <w:r w:rsidR="00EE429E">
        <w:rPr>
          <w:color w:val="000000" w:themeColor="text1"/>
        </w:rPr>
        <w:t>00k</w:t>
      </w:r>
      <w:r w:rsidRPr="00464529">
        <w:rPr>
          <w:color w:val="000000" w:themeColor="text1"/>
        </w:rPr>
        <w:t xml:space="preserve">gN/Ha.  </w:t>
      </w:r>
      <w:r w:rsidR="00AD2CB1">
        <w:rPr>
          <w:color w:val="000000" w:themeColor="text1"/>
        </w:rPr>
        <w:t xml:space="preserve"> </w:t>
      </w:r>
      <w:r w:rsidR="00B11555">
        <w:rPr>
          <w:color w:val="000000" w:themeColor="text1"/>
        </w:rPr>
        <w:t>Rule 11 required:</w:t>
      </w:r>
    </w:p>
    <w:p w:rsidR="00B11555" w:rsidRDefault="00B11555" w:rsidP="00B11555">
      <w:pPr>
        <w:pStyle w:val="ListParagraph"/>
        <w:ind w:left="501"/>
        <w:rPr>
          <w:color w:val="000000" w:themeColor="text1"/>
        </w:rPr>
      </w:pPr>
    </w:p>
    <w:tbl>
      <w:tblPr>
        <w:tblStyle w:val="TableGrid"/>
        <w:tblW w:w="0" w:type="auto"/>
        <w:tblInd w:w="704" w:type="dxa"/>
        <w:tblLook w:val="04A0" w:firstRow="1" w:lastRow="0" w:firstColumn="1" w:lastColumn="0" w:noHBand="0" w:noVBand="1"/>
      </w:tblPr>
      <w:tblGrid>
        <w:gridCol w:w="4394"/>
        <w:gridCol w:w="4638"/>
      </w:tblGrid>
      <w:tr w:rsidR="00B11555" w:rsidRPr="009C7617" w:rsidTr="00880014">
        <w:tc>
          <w:tcPr>
            <w:tcW w:w="4394" w:type="dxa"/>
            <w:shd w:val="clear" w:color="auto" w:fill="F2F2F2" w:themeFill="background1" w:themeFillShade="F2"/>
          </w:tcPr>
          <w:p w:rsidR="00B11555" w:rsidRPr="009C7617" w:rsidRDefault="00B11555" w:rsidP="00531300">
            <w:pPr>
              <w:pStyle w:val="ListParagraph"/>
              <w:ind w:left="0"/>
              <w:rPr>
                <w:b/>
              </w:rPr>
            </w:pPr>
            <w:r w:rsidRPr="009C7617">
              <w:rPr>
                <w:b/>
              </w:rPr>
              <w:t xml:space="preserve">Land Use Activity </w:t>
            </w:r>
          </w:p>
        </w:tc>
        <w:tc>
          <w:tcPr>
            <w:tcW w:w="4638" w:type="dxa"/>
            <w:shd w:val="clear" w:color="auto" w:fill="F2F2F2" w:themeFill="background1" w:themeFillShade="F2"/>
          </w:tcPr>
          <w:p w:rsidR="00B11555" w:rsidRPr="009C7617" w:rsidRDefault="00B11555" w:rsidP="00531300">
            <w:pPr>
              <w:pStyle w:val="ListParagraph"/>
              <w:ind w:left="0"/>
              <w:rPr>
                <w:b/>
              </w:rPr>
            </w:pPr>
            <w:r w:rsidRPr="009C7617">
              <w:rPr>
                <w:b/>
              </w:rPr>
              <w:t xml:space="preserve">Nutrient Benchmark Level </w:t>
            </w:r>
          </w:p>
        </w:tc>
      </w:tr>
      <w:tr w:rsidR="00B11555" w:rsidRPr="00285DE8" w:rsidTr="00880014">
        <w:tc>
          <w:tcPr>
            <w:tcW w:w="4394" w:type="dxa"/>
          </w:tcPr>
          <w:p w:rsidR="00B11555" w:rsidRPr="00B11555" w:rsidRDefault="006C5A1B" w:rsidP="006C5A1B">
            <w:pPr>
              <w:pStyle w:val="ListParagraph"/>
              <w:ind w:left="0"/>
              <w:rPr>
                <w:sz w:val="20"/>
              </w:rPr>
            </w:pPr>
            <w:r>
              <w:rPr>
                <w:sz w:val="20"/>
              </w:rPr>
              <w:t>C</w:t>
            </w:r>
            <w:r w:rsidR="00B11555" w:rsidRPr="00B11555">
              <w:rPr>
                <w:sz w:val="20"/>
              </w:rPr>
              <w:t>hanged from dry stock to dairying</w:t>
            </w:r>
            <w:r>
              <w:rPr>
                <w:sz w:val="20"/>
              </w:rPr>
              <w:t>,</w:t>
            </w:r>
            <w:r w:rsidR="00B11555" w:rsidRPr="00B11555">
              <w:rPr>
                <w:sz w:val="20"/>
              </w:rPr>
              <w:t xml:space="preserve"> or pastoral grazing to horticulture; change commenced between 1 July 2001 and 30 June 2004. </w:t>
            </w:r>
          </w:p>
        </w:tc>
        <w:tc>
          <w:tcPr>
            <w:tcW w:w="4638" w:type="dxa"/>
            <w:vMerge w:val="restart"/>
          </w:tcPr>
          <w:p w:rsidR="006C5A1B" w:rsidRDefault="00B11555" w:rsidP="00531300">
            <w:pPr>
              <w:pStyle w:val="ListParagraph"/>
              <w:ind w:left="0"/>
              <w:rPr>
                <w:sz w:val="20"/>
              </w:rPr>
            </w:pPr>
            <w:r w:rsidRPr="00B11555">
              <w:rPr>
                <w:sz w:val="20"/>
              </w:rPr>
              <w:t xml:space="preserve">Average nutrient loss from property between 1 July 2004 and 30 June 2005. </w:t>
            </w:r>
          </w:p>
          <w:p w:rsidR="00B11555" w:rsidRPr="00B11555" w:rsidRDefault="00B11555" w:rsidP="00531300">
            <w:pPr>
              <w:pStyle w:val="ListParagraph"/>
              <w:ind w:left="0"/>
              <w:rPr>
                <w:sz w:val="20"/>
              </w:rPr>
            </w:pPr>
            <w:r w:rsidRPr="00B11555">
              <w:rPr>
                <w:sz w:val="20"/>
              </w:rPr>
              <w:t xml:space="preserve">Nutrient benchmark information </w:t>
            </w:r>
            <w:r w:rsidRPr="006C5A1B">
              <w:rPr>
                <w:sz w:val="20"/>
              </w:rPr>
              <w:t xml:space="preserve">required by </w:t>
            </w:r>
            <w:r w:rsidR="006C5A1B" w:rsidRPr="006C5A1B">
              <w:rPr>
                <w:sz w:val="20"/>
              </w:rPr>
              <w:t>the sooner of</w:t>
            </w:r>
            <w:r w:rsidR="006C5A1B">
              <w:rPr>
                <w:b/>
                <w:sz w:val="20"/>
              </w:rPr>
              <w:t xml:space="preserve"> </w:t>
            </w:r>
            <w:r w:rsidRPr="00B11555">
              <w:rPr>
                <w:b/>
                <w:sz w:val="20"/>
              </w:rPr>
              <w:t>31 December 2005</w:t>
            </w:r>
            <w:r w:rsidRPr="00B11555">
              <w:rPr>
                <w:sz w:val="20"/>
              </w:rPr>
              <w:t>, or when property is sold</w:t>
            </w:r>
            <w:r w:rsidR="006C5A1B">
              <w:rPr>
                <w:sz w:val="20"/>
              </w:rPr>
              <w:t>.</w:t>
            </w:r>
            <w:r w:rsidRPr="00B11555">
              <w:rPr>
                <w:sz w:val="20"/>
              </w:rPr>
              <w:t xml:space="preserve"> </w:t>
            </w:r>
          </w:p>
          <w:p w:rsidR="00B11555" w:rsidRPr="00B11555" w:rsidRDefault="00B11555" w:rsidP="00531300">
            <w:pPr>
              <w:pStyle w:val="ListParagraph"/>
              <w:ind w:left="0"/>
              <w:rPr>
                <w:sz w:val="20"/>
              </w:rPr>
            </w:pPr>
          </w:p>
        </w:tc>
      </w:tr>
      <w:tr w:rsidR="00B11555" w:rsidRPr="00285DE8" w:rsidTr="00880014">
        <w:tc>
          <w:tcPr>
            <w:tcW w:w="4394" w:type="dxa"/>
          </w:tcPr>
          <w:p w:rsidR="00B11555" w:rsidRPr="00B11555" w:rsidRDefault="006C5A1B" w:rsidP="006C5A1B">
            <w:pPr>
              <w:pStyle w:val="ListParagraph"/>
              <w:ind w:left="0"/>
              <w:rPr>
                <w:sz w:val="20"/>
              </w:rPr>
            </w:pPr>
            <w:r>
              <w:rPr>
                <w:sz w:val="20"/>
              </w:rPr>
              <w:t>C</w:t>
            </w:r>
            <w:r w:rsidR="00B11555" w:rsidRPr="00B11555">
              <w:rPr>
                <w:sz w:val="20"/>
              </w:rPr>
              <w:t xml:space="preserve">hanged from forestry to dairying </w:t>
            </w:r>
            <w:r>
              <w:rPr>
                <w:sz w:val="20"/>
              </w:rPr>
              <w:t>or</w:t>
            </w:r>
            <w:r w:rsidR="00B11555" w:rsidRPr="00B11555">
              <w:rPr>
                <w:sz w:val="20"/>
              </w:rPr>
              <w:t xml:space="preserve"> pastoral grazing, or forestry to another land use; change commenced between 1 July 2001 and 1 January 2003. </w:t>
            </w:r>
          </w:p>
        </w:tc>
        <w:tc>
          <w:tcPr>
            <w:tcW w:w="4638" w:type="dxa"/>
            <w:vMerge/>
          </w:tcPr>
          <w:p w:rsidR="00B11555" w:rsidRPr="00B11555" w:rsidRDefault="00B11555" w:rsidP="00531300">
            <w:pPr>
              <w:pStyle w:val="ListParagraph"/>
              <w:ind w:left="0"/>
              <w:rPr>
                <w:sz w:val="20"/>
              </w:rPr>
            </w:pPr>
          </w:p>
        </w:tc>
      </w:tr>
      <w:tr w:rsidR="00B11555" w:rsidRPr="00285DE8" w:rsidTr="00880014">
        <w:tc>
          <w:tcPr>
            <w:tcW w:w="4394" w:type="dxa"/>
          </w:tcPr>
          <w:p w:rsidR="00B11555" w:rsidRPr="00B11555" w:rsidRDefault="006C5A1B" w:rsidP="006C5A1B">
            <w:pPr>
              <w:pStyle w:val="ListParagraph"/>
              <w:ind w:left="0"/>
              <w:rPr>
                <w:sz w:val="20"/>
              </w:rPr>
            </w:pPr>
            <w:r>
              <w:rPr>
                <w:sz w:val="20"/>
              </w:rPr>
              <w:t>C</w:t>
            </w:r>
            <w:r w:rsidR="00B11555" w:rsidRPr="00B11555">
              <w:rPr>
                <w:sz w:val="20"/>
              </w:rPr>
              <w:t>hanged from forestry to dairying</w:t>
            </w:r>
            <w:r>
              <w:rPr>
                <w:sz w:val="20"/>
              </w:rPr>
              <w:t xml:space="preserve"> or </w:t>
            </w:r>
            <w:r w:rsidR="00B11555" w:rsidRPr="00B11555">
              <w:rPr>
                <w:sz w:val="20"/>
              </w:rPr>
              <w:t xml:space="preserve">pastoral grazing, or forestry to another land use; change commenced between 1 January 2003 and 30 June 2004. </w:t>
            </w:r>
          </w:p>
        </w:tc>
        <w:tc>
          <w:tcPr>
            <w:tcW w:w="4638" w:type="dxa"/>
          </w:tcPr>
          <w:p w:rsidR="00B11555" w:rsidRPr="00B11555" w:rsidRDefault="00B11555" w:rsidP="00B11555">
            <w:pPr>
              <w:pStyle w:val="ListParagraph"/>
              <w:ind w:left="0"/>
              <w:rPr>
                <w:sz w:val="20"/>
              </w:rPr>
            </w:pPr>
            <w:r w:rsidRPr="00B11555">
              <w:rPr>
                <w:sz w:val="20"/>
              </w:rPr>
              <w:t xml:space="preserve">Appropriate nutrient benchmark will be set by BOPRC in conjunction with the landowner and an independent nutrient management adviser, to allow a fair and reasonable production level relative to the property characteristics and land use. </w:t>
            </w:r>
          </w:p>
        </w:tc>
      </w:tr>
      <w:tr w:rsidR="00B11555" w:rsidRPr="00285DE8" w:rsidTr="00880014">
        <w:tc>
          <w:tcPr>
            <w:tcW w:w="4394" w:type="dxa"/>
          </w:tcPr>
          <w:p w:rsidR="00B11555" w:rsidRPr="00B11555" w:rsidRDefault="00B11555" w:rsidP="00531300">
            <w:pPr>
              <w:pStyle w:val="ListParagraph"/>
              <w:ind w:left="0"/>
              <w:rPr>
                <w:sz w:val="20"/>
              </w:rPr>
            </w:pPr>
            <w:r w:rsidRPr="00B11555">
              <w:rPr>
                <w:sz w:val="20"/>
              </w:rPr>
              <w:t xml:space="preserve">All other land uses </w:t>
            </w:r>
          </w:p>
        </w:tc>
        <w:tc>
          <w:tcPr>
            <w:tcW w:w="4638" w:type="dxa"/>
          </w:tcPr>
          <w:p w:rsidR="00B11555" w:rsidRPr="00B11555" w:rsidRDefault="00B11555" w:rsidP="00B11555">
            <w:pPr>
              <w:pStyle w:val="ListParagraph"/>
              <w:ind w:left="0"/>
              <w:rPr>
                <w:sz w:val="20"/>
              </w:rPr>
            </w:pPr>
            <w:r w:rsidRPr="00B11555">
              <w:rPr>
                <w:sz w:val="20"/>
              </w:rPr>
              <w:t>Average nutrient loss from property between 1 July 2001 and 30 June 2004. Nutrient benchmark information required by 31 December 2005, or when property is sold, whichever is the sooner</w:t>
            </w:r>
          </w:p>
        </w:tc>
      </w:tr>
    </w:tbl>
    <w:p w:rsidR="0035596E" w:rsidRPr="00EE429E" w:rsidRDefault="0035596E" w:rsidP="0035596E">
      <w:pPr>
        <w:pStyle w:val="ListParagraph"/>
        <w:ind w:left="501"/>
        <w:rPr>
          <w:color w:val="000000" w:themeColor="text1"/>
        </w:rPr>
      </w:pPr>
    </w:p>
    <w:p w:rsidR="00004A54" w:rsidRPr="00EE429E" w:rsidRDefault="008115FE" w:rsidP="00880014">
      <w:pPr>
        <w:pStyle w:val="ListParagraph"/>
        <w:numPr>
          <w:ilvl w:val="0"/>
          <w:numId w:val="28"/>
        </w:numPr>
        <w:ind w:left="360"/>
        <w:rPr>
          <w:color w:val="000000" w:themeColor="text1"/>
        </w:rPr>
      </w:pPr>
      <w:r w:rsidRPr="00EE429E">
        <w:rPr>
          <w:color w:val="000000" w:themeColor="text1"/>
        </w:rPr>
        <w:t xml:space="preserve">At </w:t>
      </w:r>
      <w:r w:rsidR="00AD2CB1" w:rsidRPr="00EE429E">
        <w:rPr>
          <w:color w:val="000000" w:themeColor="text1"/>
        </w:rPr>
        <w:t xml:space="preserve">the September 2015 </w:t>
      </w:r>
      <w:proofErr w:type="spellStart"/>
      <w:r w:rsidR="00AD2CB1" w:rsidRPr="00EE429E">
        <w:rPr>
          <w:color w:val="000000" w:themeColor="text1"/>
        </w:rPr>
        <w:t>StAG</w:t>
      </w:r>
      <w:proofErr w:type="spellEnd"/>
      <w:r w:rsidR="00AD2CB1" w:rsidRPr="00EE429E">
        <w:rPr>
          <w:color w:val="000000" w:themeColor="text1"/>
        </w:rPr>
        <w:t xml:space="preserve"> meeting the forestry representative noted that </w:t>
      </w:r>
      <w:r w:rsidR="00FC5FD1" w:rsidRPr="00EE429E">
        <w:rPr>
          <w:color w:val="000000" w:themeColor="text1"/>
        </w:rPr>
        <w:t xml:space="preserve">the environmental costs of </w:t>
      </w:r>
      <w:r w:rsidRPr="00EE429E">
        <w:rPr>
          <w:color w:val="000000" w:themeColor="text1"/>
        </w:rPr>
        <w:t>f</w:t>
      </w:r>
      <w:r w:rsidR="002371ED" w:rsidRPr="00EE429E">
        <w:rPr>
          <w:color w:val="000000" w:themeColor="text1"/>
        </w:rPr>
        <w:t xml:space="preserve">orestry </w:t>
      </w:r>
      <w:r w:rsidR="00FC5FD1" w:rsidRPr="00EE429E">
        <w:rPr>
          <w:color w:val="000000" w:themeColor="text1"/>
        </w:rPr>
        <w:t xml:space="preserve">are </w:t>
      </w:r>
      <w:r w:rsidR="002371ED" w:rsidRPr="00EE429E">
        <w:rPr>
          <w:color w:val="000000" w:themeColor="text1"/>
        </w:rPr>
        <w:t xml:space="preserve">incorporated </w:t>
      </w:r>
      <w:r w:rsidR="00AD2CB1" w:rsidRPr="00EE429E">
        <w:rPr>
          <w:color w:val="000000" w:themeColor="text1"/>
        </w:rPr>
        <w:t>into its business costs</w:t>
      </w:r>
      <w:r w:rsidR="00FC5FD1" w:rsidRPr="00EE429E">
        <w:rPr>
          <w:color w:val="000000" w:themeColor="text1"/>
        </w:rPr>
        <w:t xml:space="preserve"> as a matter of course</w:t>
      </w:r>
      <w:r w:rsidR="002371ED" w:rsidRPr="00EE429E">
        <w:rPr>
          <w:color w:val="000000" w:themeColor="text1"/>
        </w:rPr>
        <w:t xml:space="preserve"> (e.g. sediment control). </w:t>
      </w:r>
      <w:r w:rsidR="00FC5FD1" w:rsidRPr="00EE429E">
        <w:rPr>
          <w:color w:val="000000" w:themeColor="text1"/>
        </w:rPr>
        <w:t xml:space="preserve"> They also noted that although </w:t>
      </w:r>
      <w:r w:rsidR="002371ED" w:rsidRPr="00EE429E">
        <w:rPr>
          <w:color w:val="000000" w:themeColor="text1"/>
        </w:rPr>
        <w:t xml:space="preserve">farmers </w:t>
      </w:r>
      <w:r w:rsidR="00FC5FD1" w:rsidRPr="00EE429E">
        <w:rPr>
          <w:color w:val="000000" w:themeColor="text1"/>
        </w:rPr>
        <w:t xml:space="preserve">may consider </w:t>
      </w:r>
      <w:r w:rsidR="00AD2CB1" w:rsidRPr="00EE429E">
        <w:rPr>
          <w:color w:val="000000" w:themeColor="text1"/>
        </w:rPr>
        <w:t xml:space="preserve">the sector allocation </w:t>
      </w:r>
      <w:r w:rsidR="00FC5FD1" w:rsidRPr="00EE429E">
        <w:rPr>
          <w:color w:val="000000" w:themeColor="text1"/>
        </w:rPr>
        <w:t xml:space="preserve">to be </w:t>
      </w:r>
      <w:r w:rsidR="002371ED" w:rsidRPr="00EE429E">
        <w:rPr>
          <w:color w:val="000000" w:themeColor="text1"/>
        </w:rPr>
        <w:t>a hybrid</w:t>
      </w:r>
      <w:r w:rsidR="00AD2CB1" w:rsidRPr="00EE429E">
        <w:rPr>
          <w:color w:val="000000" w:themeColor="text1"/>
        </w:rPr>
        <w:t xml:space="preserve"> regime</w:t>
      </w:r>
      <w:r w:rsidR="002371ED" w:rsidRPr="00EE429E">
        <w:rPr>
          <w:color w:val="000000" w:themeColor="text1"/>
        </w:rPr>
        <w:t>, the forestry sector see</w:t>
      </w:r>
      <w:r w:rsidR="00AD2CB1" w:rsidRPr="00EE429E">
        <w:rPr>
          <w:color w:val="000000" w:themeColor="text1"/>
        </w:rPr>
        <w:t xml:space="preserve">s it as a form of </w:t>
      </w:r>
      <w:r w:rsidR="002371ED" w:rsidRPr="00EE429E">
        <w:rPr>
          <w:color w:val="000000" w:themeColor="text1"/>
        </w:rPr>
        <w:t>grand-parenting</w:t>
      </w:r>
      <w:r w:rsidR="00FC5FD1" w:rsidRPr="00EE429E">
        <w:rPr>
          <w:color w:val="000000" w:themeColor="text1"/>
        </w:rPr>
        <w:t xml:space="preserve"> which creates opportunity costs to forest owners and cross-subsidies to pastoral farmers</w:t>
      </w:r>
      <w:r w:rsidR="00AD2CB1" w:rsidRPr="00EE429E">
        <w:rPr>
          <w:color w:val="000000" w:themeColor="text1"/>
        </w:rPr>
        <w:t>.</w:t>
      </w:r>
      <w:r w:rsidR="00FC5FD1" w:rsidRPr="00EE429E">
        <w:rPr>
          <w:color w:val="000000" w:themeColor="text1"/>
        </w:rPr>
        <w:t xml:space="preserve"> This contrasts with the pastoral view that there </w:t>
      </w:r>
      <w:r w:rsidR="00FC509D" w:rsidRPr="00EE429E">
        <w:rPr>
          <w:color w:val="000000" w:themeColor="text1"/>
        </w:rPr>
        <w:t xml:space="preserve">would be </w:t>
      </w:r>
      <w:r w:rsidR="00FC5FD1" w:rsidRPr="00EE429E">
        <w:rPr>
          <w:color w:val="000000" w:themeColor="text1"/>
        </w:rPr>
        <w:t xml:space="preserve">“windfall </w:t>
      </w:r>
      <w:r w:rsidR="00FC5FD1" w:rsidRPr="00FC509D">
        <w:rPr>
          <w:color w:val="000000" w:themeColor="text1"/>
        </w:rPr>
        <w:t xml:space="preserve">gains” to forestry owners under natural capital  i.e. the location and distribution of windfall gains </w:t>
      </w:r>
      <w:r w:rsidR="00EA1A90" w:rsidRPr="00FC509D">
        <w:rPr>
          <w:color w:val="000000" w:themeColor="text1"/>
        </w:rPr>
        <w:t>is not a simple matter of fact</w:t>
      </w:r>
      <w:r w:rsidR="00EA1A90">
        <w:rPr>
          <w:color w:val="000000" w:themeColor="text1"/>
        </w:rPr>
        <w:t>, it</w:t>
      </w:r>
      <w:r w:rsidR="00EA1A90" w:rsidRPr="00FC509D">
        <w:rPr>
          <w:color w:val="000000" w:themeColor="text1"/>
        </w:rPr>
        <w:t xml:space="preserve"> </w:t>
      </w:r>
      <w:r w:rsidR="00FC5FD1" w:rsidRPr="00FC509D">
        <w:rPr>
          <w:color w:val="000000" w:themeColor="text1"/>
        </w:rPr>
        <w:t xml:space="preserve">very much depends on your </w:t>
      </w:r>
      <w:r w:rsidR="00A9787F">
        <w:rPr>
          <w:color w:val="000000" w:themeColor="text1"/>
        </w:rPr>
        <w:t xml:space="preserve">present </w:t>
      </w:r>
      <w:r w:rsidR="00FC509D" w:rsidRPr="00FC509D">
        <w:rPr>
          <w:color w:val="000000" w:themeColor="text1"/>
        </w:rPr>
        <w:t>land use</w:t>
      </w:r>
      <w:r w:rsidR="00FC509D" w:rsidRPr="00EE429E">
        <w:rPr>
          <w:color w:val="000000" w:themeColor="text1"/>
        </w:rPr>
        <w:t xml:space="preserve">.  </w:t>
      </w:r>
    </w:p>
    <w:p w:rsidR="00FF0505" w:rsidRPr="00EE429E" w:rsidRDefault="00FF0505" w:rsidP="00882B87">
      <w:pPr>
        <w:rPr>
          <w:color w:val="000000" w:themeColor="text1"/>
        </w:rPr>
      </w:pPr>
    </w:p>
    <w:p w:rsidR="003906EA" w:rsidRPr="00FC719E" w:rsidRDefault="00BD4CA0" w:rsidP="00880014">
      <w:pPr>
        <w:ind w:left="360"/>
        <w:rPr>
          <w:color w:val="000000" w:themeColor="text1"/>
        </w:rPr>
      </w:pPr>
      <w:r w:rsidRPr="00EE429E">
        <w:rPr>
          <w:color w:val="000000" w:themeColor="text1"/>
        </w:rPr>
        <w:t xml:space="preserve">At the </w:t>
      </w:r>
      <w:r w:rsidR="00804CAC" w:rsidRPr="00EE429E">
        <w:rPr>
          <w:color w:val="000000" w:themeColor="text1"/>
        </w:rPr>
        <w:t>Oct</w:t>
      </w:r>
      <w:r w:rsidRPr="00EE429E">
        <w:rPr>
          <w:color w:val="000000" w:themeColor="text1"/>
        </w:rPr>
        <w:t>ober</w:t>
      </w:r>
      <w:r w:rsidR="00804CAC" w:rsidRPr="00EE429E">
        <w:rPr>
          <w:color w:val="000000" w:themeColor="text1"/>
        </w:rPr>
        <w:t xml:space="preserve"> 2015 </w:t>
      </w:r>
      <w:proofErr w:type="spellStart"/>
      <w:r w:rsidRPr="00EE429E">
        <w:rPr>
          <w:color w:val="000000" w:themeColor="text1"/>
        </w:rPr>
        <w:t>StAG</w:t>
      </w:r>
      <w:proofErr w:type="spellEnd"/>
      <w:r w:rsidRPr="00EE429E">
        <w:rPr>
          <w:color w:val="000000" w:themeColor="text1"/>
        </w:rPr>
        <w:t xml:space="preserve"> </w:t>
      </w:r>
      <w:r w:rsidR="00882B87" w:rsidRPr="00FC719E">
        <w:rPr>
          <w:color w:val="000000" w:themeColor="text1"/>
        </w:rPr>
        <w:t>meeting forest</w:t>
      </w:r>
      <w:r w:rsidR="00FC719E" w:rsidRPr="00FC719E">
        <w:rPr>
          <w:color w:val="000000" w:themeColor="text1"/>
        </w:rPr>
        <w:t>ers</w:t>
      </w:r>
      <w:r w:rsidR="00882B87" w:rsidRPr="00FC719E">
        <w:rPr>
          <w:color w:val="000000" w:themeColor="text1"/>
        </w:rPr>
        <w:t xml:space="preserve"> </w:t>
      </w:r>
      <w:r w:rsidR="00F17D7C">
        <w:rPr>
          <w:color w:val="000000" w:themeColor="text1"/>
        </w:rPr>
        <w:t xml:space="preserve">summarised their </w:t>
      </w:r>
      <w:r w:rsidR="00FC719E" w:rsidRPr="00FC719E">
        <w:rPr>
          <w:color w:val="000000" w:themeColor="text1"/>
        </w:rPr>
        <w:t xml:space="preserve">concerns and </w:t>
      </w:r>
      <w:r w:rsidR="00882B87" w:rsidRPr="00FC719E">
        <w:rPr>
          <w:color w:val="000000" w:themeColor="text1"/>
        </w:rPr>
        <w:t>position</w:t>
      </w:r>
      <w:r w:rsidR="003906EA" w:rsidRPr="00FC719E">
        <w:rPr>
          <w:color w:val="000000" w:themeColor="text1"/>
        </w:rPr>
        <w:t xml:space="preserve">. </w:t>
      </w:r>
      <w:r w:rsidR="00F17D7C">
        <w:rPr>
          <w:color w:val="000000" w:themeColor="text1"/>
        </w:rPr>
        <w:t>They</w:t>
      </w:r>
      <w:r w:rsidR="00A9787F" w:rsidRPr="00FC719E">
        <w:rPr>
          <w:color w:val="000000" w:themeColor="text1"/>
        </w:rPr>
        <w:t xml:space="preserve"> advised that </w:t>
      </w:r>
      <w:r w:rsidR="003906EA" w:rsidRPr="00FC719E">
        <w:rPr>
          <w:color w:val="000000" w:themeColor="text1"/>
        </w:rPr>
        <w:t>sector averaging</w:t>
      </w:r>
      <w:r w:rsidR="00A9787F" w:rsidRPr="00FC719E">
        <w:rPr>
          <w:color w:val="000000" w:themeColor="text1"/>
        </w:rPr>
        <w:t xml:space="preserve"> </w:t>
      </w:r>
      <w:r w:rsidR="003906EA" w:rsidRPr="00FC719E">
        <w:rPr>
          <w:color w:val="000000" w:themeColor="text1"/>
        </w:rPr>
        <w:t>provides forested land with no latitude for other uses</w:t>
      </w:r>
      <w:r w:rsidR="00FC719E">
        <w:rPr>
          <w:color w:val="000000" w:themeColor="text1"/>
        </w:rPr>
        <w:t xml:space="preserve">.  </w:t>
      </w:r>
      <w:r w:rsidR="00F17D7C" w:rsidRPr="00F17D7C">
        <w:rPr>
          <w:color w:val="000000" w:themeColor="text1"/>
        </w:rPr>
        <w:t>Locking forestry in at &lt;3kgN/ha/</w:t>
      </w:r>
      <w:proofErr w:type="spellStart"/>
      <w:r w:rsidR="00F17D7C" w:rsidRPr="00F17D7C">
        <w:rPr>
          <w:color w:val="000000" w:themeColor="text1"/>
        </w:rPr>
        <w:t>yr</w:t>
      </w:r>
      <w:proofErr w:type="spellEnd"/>
      <w:r w:rsidR="00F17D7C" w:rsidRPr="00F17D7C">
        <w:rPr>
          <w:color w:val="000000" w:themeColor="text1"/>
        </w:rPr>
        <w:t xml:space="preserve"> would make it not possible to use fertiliser.   Forestry economic efficiency is high, but some N fertilisation would improve its economic efficiency further.  Tree crops also need to be considered. Hazelnuts may be &lt;10kgN/ha/</w:t>
      </w:r>
      <w:proofErr w:type="spellStart"/>
      <w:r w:rsidR="00F17D7C" w:rsidRPr="00F17D7C">
        <w:rPr>
          <w:color w:val="000000" w:themeColor="text1"/>
        </w:rPr>
        <w:t>yr</w:t>
      </w:r>
      <w:proofErr w:type="spellEnd"/>
      <w:r w:rsidR="00F17D7C" w:rsidRPr="00F17D7C">
        <w:rPr>
          <w:color w:val="000000" w:themeColor="text1"/>
        </w:rPr>
        <w:t xml:space="preserve">, but probably not 3. </w:t>
      </w:r>
      <w:proofErr w:type="gramStart"/>
      <w:r w:rsidR="00F17D7C" w:rsidRPr="00F17D7C">
        <w:rPr>
          <w:color w:val="000000" w:themeColor="text1"/>
        </w:rPr>
        <w:t>i.e</w:t>
      </w:r>
      <w:proofErr w:type="gramEnd"/>
      <w:r w:rsidR="00F17D7C" w:rsidRPr="00F17D7C">
        <w:rPr>
          <w:color w:val="000000" w:themeColor="text1"/>
        </w:rPr>
        <w:t>. forestry N loss will increase but still be much lower than pastoral uses, so be wary of locking out options.</w:t>
      </w:r>
      <w:r w:rsidR="0024408F">
        <w:rPr>
          <w:color w:val="000000" w:themeColor="text1"/>
        </w:rPr>
        <w:t xml:space="preserve">  </w:t>
      </w:r>
      <w:r w:rsidR="00FC719E">
        <w:rPr>
          <w:color w:val="000000" w:themeColor="text1"/>
        </w:rPr>
        <w:t xml:space="preserve">This </w:t>
      </w:r>
      <w:r w:rsidR="003906EA" w:rsidRPr="00FC719E">
        <w:rPr>
          <w:color w:val="000000" w:themeColor="text1"/>
        </w:rPr>
        <w:t>puts ongoing or expansion of forestry investment</w:t>
      </w:r>
      <w:r w:rsidR="00EE429E">
        <w:rPr>
          <w:color w:val="000000" w:themeColor="text1"/>
        </w:rPr>
        <w:t xml:space="preserve"> </w:t>
      </w:r>
      <w:r w:rsidR="00EE429E" w:rsidRPr="00FC719E">
        <w:rPr>
          <w:color w:val="000000" w:themeColor="text1"/>
        </w:rPr>
        <w:t>at risk</w:t>
      </w:r>
      <w:r w:rsidR="00FC719E">
        <w:rPr>
          <w:color w:val="000000" w:themeColor="text1"/>
        </w:rPr>
        <w:t xml:space="preserve">, </w:t>
      </w:r>
      <w:r w:rsidR="003906EA" w:rsidRPr="00FC719E">
        <w:rPr>
          <w:color w:val="000000" w:themeColor="text1"/>
        </w:rPr>
        <w:t xml:space="preserve">because any land user presently not in forestry will see that a change to forestry </w:t>
      </w:r>
      <w:r w:rsidR="00A9787F" w:rsidRPr="00FC719E">
        <w:rPr>
          <w:color w:val="000000" w:themeColor="text1"/>
        </w:rPr>
        <w:t xml:space="preserve">land use </w:t>
      </w:r>
      <w:r w:rsidR="003906EA" w:rsidRPr="00FC719E">
        <w:rPr>
          <w:color w:val="000000" w:themeColor="text1"/>
        </w:rPr>
        <w:t>becomes a lock into forestry</w:t>
      </w:r>
      <w:r w:rsidR="00A9787F" w:rsidRPr="00FC719E">
        <w:rPr>
          <w:color w:val="000000" w:themeColor="text1"/>
        </w:rPr>
        <w:t xml:space="preserve"> land use</w:t>
      </w:r>
      <w:r w:rsidR="003906EA" w:rsidRPr="00FC719E">
        <w:rPr>
          <w:color w:val="000000" w:themeColor="text1"/>
        </w:rPr>
        <w:t xml:space="preserve">.  </w:t>
      </w:r>
      <w:r w:rsidR="00A9787F" w:rsidRPr="00FC719E">
        <w:rPr>
          <w:color w:val="000000" w:themeColor="text1"/>
        </w:rPr>
        <w:t xml:space="preserve">There are a number of </w:t>
      </w:r>
      <w:r w:rsidR="003C3539" w:rsidRPr="00FC719E">
        <w:rPr>
          <w:color w:val="000000" w:themeColor="text1"/>
        </w:rPr>
        <w:t>reasons</w:t>
      </w:r>
      <w:r w:rsidR="00A9787F" w:rsidRPr="00FC719E">
        <w:rPr>
          <w:color w:val="000000" w:themeColor="text1"/>
        </w:rPr>
        <w:t xml:space="preserve"> that forests are a desirable land use</w:t>
      </w:r>
      <w:r w:rsidR="003C3539" w:rsidRPr="00FC719E">
        <w:rPr>
          <w:color w:val="000000" w:themeColor="text1"/>
        </w:rPr>
        <w:t>;</w:t>
      </w:r>
      <w:r w:rsidR="00A9787F" w:rsidRPr="00FC719E">
        <w:rPr>
          <w:color w:val="000000" w:themeColor="text1"/>
        </w:rPr>
        <w:t xml:space="preserve"> nitrogen and carbon </w:t>
      </w:r>
      <w:r w:rsidR="003C3539" w:rsidRPr="00FC719E">
        <w:rPr>
          <w:color w:val="000000" w:themeColor="text1"/>
        </w:rPr>
        <w:t xml:space="preserve">profiles are </w:t>
      </w:r>
      <w:r w:rsidR="00A9787F" w:rsidRPr="00FC719E">
        <w:rPr>
          <w:color w:val="000000" w:themeColor="text1"/>
        </w:rPr>
        <w:t xml:space="preserve">among them.  </w:t>
      </w:r>
      <w:r w:rsidR="00EE429E">
        <w:rPr>
          <w:color w:val="000000" w:themeColor="text1"/>
        </w:rPr>
        <w:t xml:space="preserve">Collectively </w:t>
      </w:r>
      <w:r w:rsidR="00EE429E" w:rsidRPr="00FC719E">
        <w:rPr>
          <w:color w:val="000000" w:themeColor="text1"/>
        </w:rPr>
        <w:t>we need to retain flexibility around land use that reflects its potential for use</w:t>
      </w:r>
      <w:r w:rsidR="00EE429E">
        <w:rPr>
          <w:color w:val="000000" w:themeColor="text1"/>
        </w:rPr>
        <w:t>;</w:t>
      </w:r>
      <w:r w:rsidR="00EE429E" w:rsidRPr="00FC719E">
        <w:rPr>
          <w:color w:val="000000" w:themeColor="text1"/>
        </w:rPr>
        <w:t xml:space="preserve"> </w:t>
      </w:r>
      <w:r w:rsidR="00EE429E">
        <w:rPr>
          <w:color w:val="000000" w:themeColor="text1"/>
        </w:rPr>
        <w:t>t</w:t>
      </w:r>
      <w:r w:rsidR="00A9787F" w:rsidRPr="00FC719E">
        <w:rPr>
          <w:color w:val="000000" w:themeColor="text1"/>
        </w:rPr>
        <w:t>o provide for as yet unforeseen land uses</w:t>
      </w:r>
      <w:r w:rsidR="00EE429E">
        <w:rPr>
          <w:color w:val="000000" w:themeColor="text1"/>
        </w:rPr>
        <w:t xml:space="preserve"> or </w:t>
      </w:r>
      <w:r w:rsidR="00A9787F" w:rsidRPr="00FC719E">
        <w:rPr>
          <w:color w:val="000000" w:themeColor="text1"/>
        </w:rPr>
        <w:t>risks as yet unknown</w:t>
      </w:r>
      <w:r w:rsidR="00EE429E">
        <w:rPr>
          <w:color w:val="000000" w:themeColor="text1"/>
        </w:rPr>
        <w:t>.  And</w:t>
      </w:r>
      <w:r w:rsidR="003C3539" w:rsidRPr="00FC719E">
        <w:rPr>
          <w:color w:val="000000" w:themeColor="text1"/>
        </w:rPr>
        <w:t xml:space="preserve"> to avoid behaviour that </w:t>
      </w:r>
      <w:r w:rsidR="00FC719E" w:rsidRPr="00FC719E">
        <w:rPr>
          <w:color w:val="000000" w:themeColor="text1"/>
        </w:rPr>
        <w:t xml:space="preserve">would </w:t>
      </w:r>
      <w:r w:rsidR="003C3539" w:rsidRPr="00FC719E">
        <w:rPr>
          <w:color w:val="000000" w:themeColor="text1"/>
        </w:rPr>
        <w:t xml:space="preserve">shun the lowest emission </w:t>
      </w:r>
      <w:r w:rsidR="00E42604">
        <w:rPr>
          <w:color w:val="000000" w:themeColor="text1"/>
        </w:rPr>
        <w:t xml:space="preserve">– and </w:t>
      </w:r>
      <w:r w:rsidR="00EE429E">
        <w:rPr>
          <w:color w:val="000000" w:themeColor="text1"/>
        </w:rPr>
        <w:t xml:space="preserve">thus most environmentally </w:t>
      </w:r>
      <w:r w:rsidR="00E42604">
        <w:rPr>
          <w:color w:val="000000" w:themeColor="text1"/>
        </w:rPr>
        <w:t xml:space="preserve">desirable - </w:t>
      </w:r>
      <w:r w:rsidR="003C3539" w:rsidRPr="00FC719E">
        <w:rPr>
          <w:color w:val="000000" w:themeColor="text1"/>
        </w:rPr>
        <w:t>land use</w:t>
      </w:r>
      <w:r w:rsidR="00A9787F" w:rsidRPr="00FC719E">
        <w:rPr>
          <w:color w:val="000000" w:themeColor="text1"/>
        </w:rPr>
        <w:t xml:space="preserve">.  This points to </w:t>
      </w:r>
      <w:r w:rsidR="003906EA" w:rsidRPr="00FC719E">
        <w:rPr>
          <w:color w:val="000000" w:themeColor="text1"/>
        </w:rPr>
        <w:t>a natural capital based allocation</w:t>
      </w:r>
      <w:r w:rsidR="003E11BC">
        <w:rPr>
          <w:color w:val="000000" w:themeColor="text1"/>
        </w:rPr>
        <w:t xml:space="preserve"> to avoid loss of optionality</w:t>
      </w:r>
      <w:r w:rsidR="00A9787F" w:rsidRPr="00FC719E">
        <w:rPr>
          <w:color w:val="000000" w:themeColor="text1"/>
        </w:rPr>
        <w:t xml:space="preserve">.  </w:t>
      </w:r>
      <w:r w:rsidR="003906EA" w:rsidRPr="00FC719E">
        <w:rPr>
          <w:color w:val="000000" w:themeColor="text1"/>
        </w:rPr>
        <w:t xml:space="preserve"> </w:t>
      </w:r>
    </w:p>
    <w:p w:rsidR="00FC719E" w:rsidRDefault="00FC719E" w:rsidP="00FC719E">
      <w:pPr>
        <w:rPr>
          <w:color w:val="7030A0"/>
        </w:rPr>
      </w:pPr>
    </w:p>
    <w:p w:rsidR="00E42604" w:rsidRPr="00880014" w:rsidRDefault="00FC719E" w:rsidP="00880014">
      <w:pPr>
        <w:pStyle w:val="SP"/>
        <w:numPr>
          <w:ilvl w:val="0"/>
          <w:numId w:val="28"/>
        </w:numPr>
        <w:autoSpaceDE w:val="0"/>
        <w:autoSpaceDN w:val="0"/>
        <w:adjustRightInd w:val="0"/>
        <w:spacing w:after="0" w:line="240" w:lineRule="auto"/>
        <w:ind w:left="501"/>
        <w:jc w:val="left"/>
        <w:rPr>
          <w:rFonts w:asciiTheme="minorHAnsi" w:hAnsiTheme="minorHAnsi"/>
          <w:color w:val="000000" w:themeColor="text1"/>
          <w:sz w:val="22"/>
          <w:szCs w:val="22"/>
        </w:rPr>
      </w:pPr>
      <w:r w:rsidRPr="00880014">
        <w:rPr>
          <w:rFonts w:asciiTheme="minorHAnsi" w:hAnsiTheme="minorHAnsi"/>
          <w:color w:val="000000" w:themeColor="text1"/>
          <w:sz w:val="22"/>
          <w:szCs w:val="22"/>
        </w:rPr>
        <w:t xml:space="preserve">Foresters further pointed out that the </w:t>
      </w:r>
      <w:r w:rsidR="003906EA" w:rsidRPr="00880014">
        <w:rPr>
          <w:rFonts w:asciiTheme="minorHAnsi" w:hAnsiTheme="minorHAnsi"/>
          <w:color w:val="000000" w:themeColor="text1"/>
          <w:sz w:val="22"/>
          <w:szCs w:val="22"/>
        </w:rPr>
        <w:t>restrictions on forestry directly benefit other sectors</w:t>
      </w:r>
      <w:r w:rsidRPr="00880014">
        <w:rPr>
          <w:rFonts w:asciiTheme="minorHAnsi" w:hAnsiTheme="minorHAnsi"/>
          <w:color w:val="000000" w:themeColor="text1"/>
          <w:sz w:val="22"/>
          <w:szCs w:val="22"/>
        </w:rPr>
        <w:t xml:space="preserve"> and mask the need for all landowners to deal with their nutrient </w:t>
      </w:r>
      <w:r w:rsidR="003E11BC" w:rsidRPr="00880014">
        <w:rPr>
          <w:rFonts w:asciiTheme="minorHAnsi" w:hAnsiTheme="minorHAnsi"/>
          <w:color w:val="000000" w:themeColor="text1"/>
          <w:sz w:val="22"/>
          <w:szCs w:val="22"/>
        </w:rPr>
        <w:t xml:space="preserve">discharge </w:t>
      </w:r>
      <w:r w:rsidRPr="00880014">
        <w:rPr>
          <w:rFonts w:asciiTheme="minorHAnsi" w:hAnsiTheme="minorHAnsi"/>
          <w:color w:val="000000" w:themeColor="text1"/>
          <w:sz w:val="22"/>
          <w:szCs w:val="22"/>
        </w:rPr>
        <w:t xml:space="preserve">signature.  All-in average or natural capital </w:t>
      </w:r>
      <w:r w:rsidR="00E42604" w:rsidRPr="00880014">
        <w:rPr>
          <w:rFonts w:asciiTheme="minorHAnsi" w:hAnsiTheme="minorHAnsi"/>
          <w:color w:val="000000" w:themeColor="text1"/>
          <w:sz w:val="22"/>
          <w:szCs w:val="22"/>
        </w:rPr>
        <w:t xml:space="preserve">allocation systems </w:t>
      </w:r>
      <w:r w:rsidRPr="00880014">
        <w:rPr>
          <w:rFonts w:asciiTheme="minorHAnsi" w:hAnsiTheme="minorHAnsi"/>
          <w:color w:val="000000" w:themeColor="text1"/>
          <w:sz w:val="22"/>
          <w:szCs w:val="22"/>
        </w:rPr>
        <w:t xml:space="preserve">do not represent a “windfall”, rather they demonstrate market recognition of new market values. </w:t>
      </w:r>
      <w:r w:rsidR="00E42604" w:rsidRPr="00880014">
        <w:rPr>
          <w:rFonts w:asciiTheme="minorHAnsi" w:hAnsiTheme="minorHAnsi"/>
          <w:color w:val="000000" w:themeColor="text1"/>
          <w:sz w:val="22"/>
          <w:szCs w:val="22"/>
        </w:rPr>
        <w:t xml:space="preserve"> Further economic signals that foresters were concerned about are the </w:t>
      </w:r>
      <w:r w:rsidRPr="00880014">
        <w:rPr>
          <w:rFonts w:asciiTheme="minorHAnsi" w:hAnsiTheme="minorHAnsi"/>
          <w:color w:val="000000" w:themeColor="text1"/>
          <w:sz w:val="22"/>
          <w:szCs w:val="22"/>
        </w:rPr>
        <w:t>e</w:t>
      </w:r>
      <w:r w:rsidR="003C3539" w:rsidRPr="00880014">
        <w:rPr>
          <w:rFonts w:asciiTheme="minorHAnsi" w:hAnsiTheme="minorHAnsi"/>
          <w:color w:val="000000" w:themeColor="text1"/>
          <w:sz w:val="22"/>
          <w:szCs w:val="22"/>
        </w:rPr>
        <w:t>mphasis</w:t>
      </w:r>
      <w:r w:rsidR="00E42604" w:rsidRPr="00880014">
        <w:rPr>
          <w:rFonts w:asciiTheme="minorHAnsi" w:hAnsiTheme="minorHAnsi"/>
          <w:color w:val="000000" w:themeColor="text1"/>
          <w:sz w:val="22"/>
          <w:szCs w:val="22"/>
        </w:rPr>
        <w:t xml:space="preserve"> </w:t>
      </w:r>
      <w:r w:rsidR="00E42604" w:rsidRPr="00880014">
        <w:rPr>
          <w:rFonts w:asciiTheme="minorHAnsi" w:hAnsiTheme="minorHAnsi"/>
          <w:color w:val="000000" w:themeColor="text1"/>
          <w:sz w:val="22"/>
          <w:szCs w:val="22"/>
        </w:rPr>
        <w:lastRenderedPageBreak/>
        <w:t>on</w:t>
      </w:r>
      <w:r w:rsidR="003C3539" w:rsidRPr="00880014">
        <w:rPr>
          <w:rFonts w:asciiTheme="minorHAnsi" w:hAnsiTheme="minorHAnsi"/>
          <w:color w:val="000000" w:themeColor="text1"/>
          <w:sz w:val="22"/>
          <w:szCs w:val="22"/>
        </w:rPr>
        <w:t xml:space="preserve"> prior investment</w:t>
      </w:r>
      <w:r w:rsidR="00E42604" w:rsidRPr="00880014">
        <w:rPr>
          <w:rFonts w:asciiTheme="minorHAnsi" w:hAnsiTheme="minorHAnsi"/>
          <w:color w:val="000000" w:themeColor="text1"/>
          <w:sz w:val="22"/>
          <w:szCs w:val="22"/>
        </w:rPr>
        <w:t xml:space="preserve">.  This </w:t>
      </w:r>
      <w:r w:rsidRPr="00880014">
        <w:rPr>
          <w:rFonts w:asciiTheme="minorHAnsi" w:hAnsiTheme="minorHAnsi"/>
          <w:color w:val="000000" w:themeColor="text1"/>
          <w:sz w:val="22"/>
          <w:szCs w:val="22"/>
        </w:rPr>
        <w:t xml:space="preserve">removes </w:t>
      </w:r>
      <w:r w:rsidR="003C3539" w:rsidRPr="00880014">
        <w:rPr>
          <w:rFonts w:asciiTheme="minorHAnsi" w:hAnsiTheme="minorHAnsi"/>
          <w:color w:val="000000" w:themeColor="text1"/>
          <w:sz w:val="22"/>
          <w:szCs w:val="22"/>
        </w:rPr>
        <w:t>economic transparency</w:t>
      </w:r>
      <w:r w:rsidR="00E42604" w:rsidRPr="00880014">
        <w:rPr>
          <w:rFonts w:asciiTheme="minorHAnsi" w:hAnsiTheme="minorHAnsi"/>
          <w:color w:val="000000" w:themeColor="text1"/>
          <w:sz w:val="22"/>
          <w:szCs w:val="22"/>
        </w:rPr>
        <w:t xml:space="preserve"> and makes it difficult to assess </w:t>
      </w:r>
      <w:r w:rsidR="003C3539" w:rsidRPr="00880014">
        <w:rPr>
          <w:rFonts w:asciiTheme="minorHAnsi" w:hAnsiTheme="minorHAnsi"/>
          <w:color w:val="000000" w:themeColor="text1"/>
          <w:sz w:val="22"/>
          <w:szCs w:val="22"/>
        </w:rPr>
        <w:t xml:space="preserve">those who have made long term investment </w:t>
      </w:r>
      <w:r w:rsidR="00E42604" w:rsidRPr="00880014">
        <w:rPr>
          <w:rFonts w:asciiTheme="minorHAnsi" w:hAnsiTheme="minorHAnsi"/>
          <w:color w:val="000000" w:themeColor="text1"/>
          <w:sz w:val="22"/>
          <w:szCs w:val="22"/>
        </w:rPr>
        <w:t xml:space="preserve">versus those who have carried out </w:t>
      </w:r>
      <w:r w:rsidR="003C3539" w:rsidRPr="00880014">
        <w:rPr>
          <w:rFonts w:asciiTheme="minorHAnsi" w:hAnsiTheme="minorHAnsi"/>
          <w:color w:val="000000" w:themeColor="text1"/>
          <w:sz w:val="22"/>
          <w:szCs w:val="22"/>
        </w:rPr>
        <w:t>recent major intensification</w:t>
      </w:r>
      <w:r w:rsidR="00E42604" w:rsidRPr="00880014">
        <w:rPr>
          <w:rFonts w:asciiTheme="minorHAnsi" w:hAnsiTheme="minorHAnsi"/>
          <w:color w:val="000000" w:themeColor="text1"/>
          <w:sz w:val="22"/>
          <w:szCs w:val="22"/>
        </w:rPr>
        <w:t>.</w:t>
      </w:r>
      <w:r w:rsidR="00E42604" w:rsidRPr="00880014">
        <w:rPr>
          <w:rFonts w:asciiTheme="minorHAnsi" w:hAnsiTheme="minorHAnsi"/>
          <w:color w:val="7030A0"/>
          <w:sz w:val="22"/>
          <w:szCs w:val="22"/>
        </w:rPr>
        <w:t xml:space="preserve">  </w:t>
      </w:r>
      <w:r w:rsidR="00E42604" w:rsidRPr="00880014">
        <w:rPr>
          <w:rFonts w:asciiTheme="minorHAnsi" w:hAnsiTheme="minorHAnsi"/>
          <w:color w:val="000000" w:themeColor="text1"/>
          <w:sz w:val="22"/>
          <w:szCs w:val="22"/>
        </w:rPr>
        <w:t>For the latter, why s</w:t>
      </w:r>
      <w:r w:rsidR="003C3539" w:rsidRPr="00880014">
        <w:rPr>
          <w:rFonts w:asciiTheme="minorHAnsi" w:hAnsiTheme="minorHAnsi"/>
          <w:color w:val="000000" w:themeColor="text1"/>
          <w:sz w:val="22"/>
          <w:szCs w:val="22"/>
        </w:rPr>
        <w:t xml:space="preserve">hould public policy socialise </w:t>
      </w:r>
      <w:r w:rsidR="00B34104" w:rsidRPr="00880014">
        <w:rPr>
          <w:rFonts w:asciiTheme="minorHAnsi" w:hAnsiTheme="minorHAnsi"/>
          <w:color w:val="000000" w:themeColor="text1"/>
          <w:sz w:val="22"/>
          <w:szCs w:val="22"/>
        </w:rPr>
        <w:t xml:space="preserve">speculative </w:t>
      </w:r>
      <w:r w:rsidR="003C3539" w:rsidRPr="00880014">
        <w:rPr>
          <w:rFonts w:asciiTheme="minorHAnsi" w:hAnsiTheme="minorHAnsi"/>
          <w:color w:val="000000" w:themeColor="text1"/>
          <w:sz w:val="22"/>
          <w:szCs w:val="22"/>
        </w:rPr>
        <w:t xml:space="preserve">business </w:t>
      </w:r>
      <w:r w:rsidR="003E11BC" w:rsidRPr="00880014">
        <w:rPr>
          <w:rFonts w:asciiTheme="minorHAnsi" w:hAnsiTheme="minorHAnsi"/>
          <w:color w:val="000000" w:themeColor="text1"/>
          <w:sz w:val="22"/>
          <w:szCs w:val="22"/>
        </w:rPr>
        <w:t>behaviour</w:t>
      </w:r>
      <w:r w:rsidR="003C3539" w:rsidRPr="00880014">
        <w:rPr>
          <w:rFonts w:asciiTheme="minorHAnsi" w:hAnsiTheme="minorHAnsi"/>
          <w:color w:val="000000" w:themeColor="text1"/>
          <w:sz w:val="22"/>
          <w:szCs w:val="22"/>
        </w:rPr>
        <w:t xml:space="preserve">? </w:t>
      </w:r>
    </w:p>
    <w:p w:rsidR="0035596E" w:rsidRPr="00880014" w:rsidRDefault="0035596E" w:rsidP="0035596E">
      <w:pPr>
        <w:rPr>
          <w:lang w:eastAsia="en-NZ"/>
        </w:rPr>
      </w:pPr>
    </w:p>
    <w:p w:rsidR="00DF434D" w:rsidRPr="00DF434D" w:rsidRDefault="00DF434D" w:rsidP="00D50B07">
      <w:pPr>
        <w:pStyle w:val="Heading3"/>
        <w:rPr>
          <w:lang w:eastAsia="en-NZ"/>
        </w:rPr>
      </w:pPr>
      <w:bookmarkStart w:id="5" w:name="_Toc476575939"/>
      <w:r w:rsidRPr="00DF434D">
        <w:rPr>
          <w:lang w:eastAsia="en-NZ"/>
        </w:rPr>
        <w:t>A c</w:t>
      </w:r>
      <w:r>
        <w:rPr>
          <w:lang w:eastAsia="en-NZ"/>
        </w:rPr>
        <w:t>har</w:t>
      </w:r>
      <w:r w:rsidRPr="00DF434D">
        <w:rPr>
          <w:lang w:eastAsia="en-NZ"/>
        </w:rPr>
        <w:t>ge regime for Lake Rotorua</w:t>
      </w:r>
      <w:bookmarkEnd w:id="5"/>
    </w:p>
    <w:p w:rsidR="00FF0505" w:rsidRPr="0024408F" w:rsidRDefault="00FF0505" w:rsidP="0024408F">
      <w:pPr>
        <w:pStyle w:val="SP"/>
        <w:numPr>
          <w:ilvl w:val="0"/>
          <w:numId w:val="28"/>
        </w:numPr>
        <w:autoSpaceDE w:val="0"/>
        <w:autoSpaceDN w:val="0"/>
        <w:adjustRightInd w:val="0"/>
        <w:spacing w:after="0" w:line="240" w:lineRule="auto"/>
        <w:ind w:left="501"/>
        <w:jc w:val="left"/>
        <w:rPr>
          <w:rFonts w:asciiTheme="minorHAnsi" w:hAnsiTheme="minorHAnsi"/>
          <w:color w:val="000000" w:themeColor="text1"/>
          <w:sz w:val="22"/>
          <w:szCs w:val="22"/>
        </w:rPr>
      </w:pPr>
      <w:r w:rsidRPr="0024408F">
        <w:rPr>
          <w:rFonts w:asciiTheme="minorHAnsi" w:hAnsiTheme="minorHAnsi"/>
          <w:color w:val="000000" w:themeColor="text1"/>
          <w:sz w:val="22"/>
          <w:szCs w:val="22"/>
        </w:rPr>
        <w:t xml:space="preserve">Council dismissed using some form of a pollution fee system out of hand, without investigating:  what it might be set at e.g. it could be progressive; how transitions in level of charge could drive behaviour (e.g. punitive at very high N losses per ha levels, none at low levels); how to divorce it from political interference (using a formula approach e.g. like rent reviews on leasehold land); or how it could be used to drive behaviour in the right direction, and how to tune it to meet targets.   </w:t>
      </w:r>
    </w:p>
    <w:p w:rsidR="00D50B07" w:rsidRPr="0024408F" w:rsidRDefault="00D50B07" w:rsidP="00D50B07">
      <w:pPr>
        <w:pStyle w:val="ListParagraph"/>
        <w:ind w:left="501"/>
        <w:rPr>
          <w:color w:val="000000" w:themeColor="text1"/>
          <w:szCs w:val="22"/>
        </w:rPr>
      </w:pPr>
    </w:p>
    <w:p w:rsidR="00A85FAD" w:rsidRPr="0024408F" w:rsidRDefault="00FF0505" w:rsidP="0024408F">
      <w:pPr>
        <w:pStyle w:val="SP"/>
        <w:numPr>
          <w:ilvl w:val="0"/>
          <w:numId w:val="28"/>
        </w:numPr>
        <w:autoSpaceDE w:val="0"/>
        <w:autoSpaceDN w:val="0"/>
        <w:adjustRightInd w:val="0"/>
        <w:spacing w:after="0" w:line="240" w:lineRule="auto"/>
        <w:ind w:left="501"/>
        <w:jc w:val="left"/>
        <w:rPr>
          <w:rFonts w:asciiTheme="minorHAnsi" w:hAnsiTheme="minorHAnsi"/>
          <w:color w:val="000000"/>
          <w:sz w:val="22"/>
          <w:szCs w:val="22"/>
        </w:rPr>
      </w:pPr>
      <w:r w:rsidRPr="0024408F">
        <w:rPr>
          <w:rFonts w:asciiTheme="minorHAnsi" w:eastAsiaTheme="minorHAnsi" w:hAnsiTheme="minorHAnsi" w:cstheme="minorBidi"/>
          <w:color w:val="000000"/>
          <w:sz w:val="22"/>
          <w:szCs w:val="22"/>
        </w:rPr>
        <w:t xml:space="preserve">Despite Councils view that it is locked into allocating because it has to reach a fixed Tonne reduction, in fact </w:t>
      </w:r>
      <w:r w:rsidR="00016C5A" w:rsidRPr="0024408F">
        <w:rPr>
          <w:rFonts w:asciiTheme="minorHAnsi" w:eastAsiaTheme="minorHAnsi" w:hAnsiTheme="minorHAnsi" w:cstheme="minorBidi"/>
          <w:color w:val="000000"/>
          <w:sz w:val="22"/>
          <w:szCs w:val="22"/>
        </w:rPr>
        <w:t>Lake Rotorua issues could lend themselves to a charge approach</w:t>
      </w:r>
      <w:r w:rsidRPr="0024408F">
        <w:rPr>
          <w:rFonts w:asciiTheme="minorHAnsi" w:eastAsiaTheme="minorHAnsi" w:hAnsiTheme="minorHAnsi" w:cstheme="minorBidi"/>
          <w:color w:val="000000"/>
          <w:sz w:val="22"/>
          <w:szCs w:val="22"/>
        </w:rPr>
        <w:t xml:space="preserve">.  This would </w:t>
      </w:r>
      <w:r w:rsidR="00296DD8" w:rsidRPr="0024408F">
        <w:rPr>
          <w:rFonts w:asciiTheme="minorHAnsi" w:hAnsiTheme="minorHAnsi"/>
          <w:color w:val="000000"/>
          <w:sz w:val="22"/>
          <w:szCs w:val="22"/>
        </w:rPr>
        <w:t>put</w:t>
      </w:r>
      <w:r w:rsidR="00D12D45" w:rsidRPr="0024408F">
        <w:rPr>
          <w:rFonts w:asciiTheme="minorHAnsi" w:hAnsiTheme="minorHAnsi"/>
          <w:color w:val="000000"/>
          <w:sz w:val="22"/>
          <w:szCs w:val="22"/>
        </w:rPr>
        <w:t xml:space="preserve"> a regime in place that would </w:t>
      </w:r>
      <w:r w:rsidR="00296DD8" w:rsidRPr="0024408F">
        <w:rPr>
          <w:rFonts w:asciiTheme="minorHAnsi" w:hAnsiTheme="minorHAnsi"/>
          <w:color w:val="000000"/>
          <w:sz w:val="22"/>
          <w:szCs w:val="22"/>
        </w:rPr>
        <w:t>set a trend</w:t>
      </w:r>
      <w:r w:rsidR="00016C5A" w:rsidRPr="0024408F">
        <w:rPr>
          <w:rFonts w:asciiTheme="minorHAnsi" w:hAnsiTheme="minorHAnsi"/>
          <w:color w:val="000000"/>
          <w:sz w:val="22"/>
          <w:szCs w:val="22"/>
        </w:rPr>
        <w:t xml:space="preserve"> in the desired direction and measure progress, rather than set</w:t>
      </w:r>
      <w:r w:rsidRPr="0024408F">
        <w:rPr>
          <w:rFonts w:asciiTheme="minorHAnsi" w:hAnsiTheme="minorHAnsi"/>
          <w:color w:val="000000"/>
          <w:sz w:val="22"/>
          <w:szCs w:val="22"/>
        </w:rPr>
        <w:t>ting</w:t>
      </w:r>
      <w:r w:rsidR="00016C5A" w:rsidRPr="0024408F">
        <w:rPr>
          <w:rFonts w:asciiTheme="minorHAnsi" w:hAnsiTheme="minorHAnsi"/>
          <w:color w:val="000000"/>
          <w:sz w:val="22"/>
          <w:szCs w:val="22"/>
        </w:rPr>
        <w:t xml:space="preserve"> a fixed target </w:t>
      </w:r>
      <w:r w:rsidRPr="0024408F">
        <w:rPr>
          <w:rFonts w:asciiTheme="minorHAnsi" w:hAnsiTheme="minorHAnsi"/>
          <w:color w:val="000000"/>
          <w:sz w:val="22"/>
          <w:szCs w:val="22"/>
        </w:rPr>
        <w:t xml:space="preserve">based on inaccurate data </w:t>
      </w:r>
      <w:r w:rsidR="00016C5A" w:rsidRPr="0024408F">
        <w:rPr>
          <w:rFonts w:asciiTheme="minorHAnsi" w:hAnsiTheme="minorHAnsi"/>
          <w:color w:val="000000"/>
          <w:sz w:val="22"/>
          <w:szCs w:val="22"/>
        </w:rPr>
        <w:t>now.</w:t>
      </w:r>
      <w:r w:rsidR="00296DD8" w:rsidRPr="0024408F">
        <w:rPr>
          <w:rFonts w:asciiTheme="minorHAnsi" w:hAnsiTheme="minorHAnsi"/>
          <w:color w:val="000000"/>
          <w:sz w:val="22"/>
          <w:szCs w:val="22"/>
        </w:rPr>
        <w:t xml:space="preserve">  </w:t>
      </w:r>
      <w:r w:rsidRPr="0024408F">
        <w:rPr>
          <w:rFonts w:asciiTheme="minorHAnsi" w:hAnsiTheme="minorHAnsi"/>
          <w:color w:val="000000"/>
          <w:sz w:val="22"/>
          <w:szCs w:val="22"/>
        </w:rPr>
        <w:t>The first phase w</w:t>
      </w:r>
      <w:r w:rsidR="00A85FAD" w:rsidRPr="0024408F">
        <w:rPr>
          <w:rFonts w:asciiTheme="minorHAnsi" w:hAnsiTheme="minorHAnsi"/>
          <w:color w:val="000000"/>
          <w:sz w:val="22"/>
          <w:szCs w:val="22"/>
        </w:rPr>
        <w:t xml:space="preserve">ould </w:t>
      </w:r>
      <w:r w:rsidRPr="0024408F">
        <w:rPr>
          <w:rFonts w:asciiTheme="minorHAnsi" w:hAnsiTheme="minorHAnsi"/>
          <w:color w:val="000000"/>
          <w:sz w:val="22"/>
          <w:szCs w:val="22"/>
        </w:rPr>
        <w:t xml:space="preserve">drive the </w:t>
      </w:r>
      <w:r w:rsidR="00016C5A" w:rsidRPr="0024408F">
        <w:rPr>
          <w:rFonts w:asciiTheme="minorHAnsi" w:hAnsiTheme="minorHAnsi"/>
          <w:color w:val="000000"/>
          <w:sz w:val="22"/>
          <w:szCs w:val="22"/>
        </w:rPr>
        <w:t xml:space="preserve">obvious improvements to practice, and </w:t>
      </w:r>
      <w:r w:rsidRPr="0024408F">
        <w:rPr>
          <w:rFonts w:asciiTheme="minorHAnsi" w:hAnsiTheme="minorHAnsi"/>
          <w:color w:val="000000"/>
          <w:sz w:val="22"/>
          <w:szCs w:val="22"/>
        </w:rPr>
        <w:t xml:space="preserve">the </w:t>
      </w:r>
      <w:r w:rsidR="00016C5A" w:rsidRPr="0024408F">
        <w:rPr>
          <w:rFonts w:asciiTheme="minorHAnsi" w:hAnsiTheme="minorHAnsi"/>
          <w:color w:val="000000"/>
          <w:sz w:val="22"/>
          <w:szCs w:val="22"/>
        </w:rPr>
        <w:t xml:space="preserve">charge process </w:t>
      </w:r>
      <w:r w:rsidRPr="0024408F">
        <w:rPr>
          <w:rFonts w:asciiTheme="minorHAnsi" w:hAnsiTheme="minorHAnsi"/>
          <w:color w:val="000000"/>
          <w:sz w:val="22"/>
          <w:szCs w:val="22"/>
        </w:rPr>
        <w:t xml:space="preserve">would </w:t>
      </w:r>
      <w:r w:rsidR="00016C5A" w:rsidRPr="0024408F">
        <w:rPr>
          <w:rFonts w:asciiTheme="minorHAnsi" w:hAnsiTheme="minorHAnsi"/>
          <w:color w:val="000000"/>
          <w:sz w:val="22"/>
          <w:szCs w:val="22"/>
        </w:rPr>
        <w:t>keep that moving along.  To make targeted/useful/ meaningful changes requires better information - matching activities to effects, identifying costs and values across industry groups using a standard methodology, and getting better attribution information. </w:t>
      </w:r>
    </w:p>
    <w:p w:rsidR="00016C5A" w:rsidRDefault="00016C5A" w:rsidP="00C15ABB">
      <w:pPr>
        <w:ind w:left="142"/>
        <w:rPr>
          <w:color w:val="000000"/>
        </w:rPr>
      </w:pPr>
    </w:p>
    <w:p w:rsidR="00614E94" w:rsidRDefault="00A85FAD" w:rsidP="0024408F">
      <w:pPr>
        <w:pStyle w:val="SP"/>
        <w:numPr>
          <w:ilvl w:val="0"/>
          <w:numId w:val="28"/>
        </w:numPr>
        <w:autoSpaceDE w:val="0"/>
        <w:autoSpaceDN w:val="0"/>
        <w:adjustRightInd w:val="0"/>
        <w:spacing w:after="0" w:line="240" w:lineRule="auto"/>
        <w:ind w:left="501"/>
        <w:jc w:val="left"/>
        <w:rPr>
          <w:rFonts w:asciiTheme="minorHAnsi" w:hAnsiTheme="minorHAnsi"/>
          <w:sz w:val="22"/>
          <w:szCs w:val="22"/>
        </w:rPr>
      </w:pPr>
      <w:r>
        <w:rPr>
          <w:rFonts w:asciiTheme="minorHAnsi" w:hAnsiTheme="minorHAnsi"/>
          <w:sz w:val="22"/>
          <w:szCs w:val="22"/>
        </w:rPr>
        <w:t xml:space="preserve">In assessing any approach </w:t>
      </w:r>
      <w:r w:rsidR="00614E94">
        <w:rPr>
          <w:rFonts w:asciiTheme="minorHAnsi" w:hAnsiTheme="minorHAnsi"/>
          <w:sz w:val="22"/>
          <w:szCs w:val="22"/>
        </w:rPr>
        <w:t>Council</w:t>
      </w:r>
      <w:r>
        <w:rPr>
          <w:rFonts w:asciiTheme="minorHAnsi" w:hAnsiTheme="minorHAnsi"/>
          <w:sz w:val="22"/>
          <w:szCs w:val="22"/>
        </w:rPr>
        <w:t xml:space="preserve"> </w:t>
      </w:r>
      <w:r w:rsidR="00614E94">
        <w:rPr>
          <w:rFonts w:asciiTheme="minorHAnsi" w:hAnsiTheme="minorHAnsi"/>
          <w:sz w:val="22"/>
          <w:szCs w:val="22"/>
        </w:rPr>
        <w:t>had</w:t>
      </w:r>
      <w:r>
        <w:rPr>
          <w:rFonts w:asciiTheme="minorHAnsi" w:hAnsiTheme="minorHAnsi"/>
          <w:sz w:val="22"/>
          <w:szCs w:val="22"/>
        </w:rPr>
        <w:t xml:space="preserve"> to use </w:t>
      </w:r>
      <w:r w:rsidR="00EB0CE7" w:rsidRPr="00A85FAD">
        <w:rPr>
          <w:rFonts w:asciiTheme="minorHAnsi" w:hAnsiTheme="minorHAnsi"/>
          <w:sz w:val="22"/>
          <w:szCs w:val="22"/>
        </w:rPr>
        <w:t>RPS WL 5B</w:t>
      </w:r>
      <w:r>
        <w:rPr>
          <w:rFonts w:asciiTheme="minorHAnsi" w:hAnsiTheme="minorHAnsi"/>
          <w:sz w:val="22"/>
          <w:szCs w:val="22"/>
        </w:rPr>
        <w:t xml:space="preserve">.  </w:t>
      </w:r>
      <w:r w:rsidR="00614E94">
        <w:rPr>
          <w:rFonts w:asciiTheme="minorHAnsi" w:hAnsiTheme="minorHAnsi"/>
          <w:sz w:val="22"/>
          <w:szCs w:val="22"/>
        </w:rPr>
        <w:t>Using this test identifies th</w:t>
      </w:r>
      <w:r w:rsidR="00ED3F8D">
        <w:rPr>
          <w:rFonts w:asciiTheme="minorHAnsi" w:hAnsiTheme="minorHAnsi"/>
          <w:sz w:val="22"/>
          <w:szCs w:val="22"/>
        </w:rPr>
        <w:t xml:space="preserve">at </w:t>
      </w:r>
      <w:r w:rsidR="00614E94">
        <w:rPr>
          <w:rFonts w:asciiTheme="minorHAnsi" w:hAnsiTheme="minorHAnsi"/>
          <w:sz w:val="22"/>
          <w:szCs w:val="22"/>
        </w:rPr>
        <w:t>allocati</w:t>
      </w:r>
      <w:r w:rsidR="00D373C7">
        <w:rPr>
          <w:rFonts w:asciiTheme="minorHAnsi" w:hAnsiTheme="minorHAnsi"/>
          <w:sz w:val="22"/>
          <w:szCs w:val="22"/>
        </w:rPr>
        <w:t>ng on the basis of land use activities</w:t>
      </w:r>
      <w:r w:rsidR="007B7C39">
        <w:rPr>
          <w:rFonts w:asciiTheme="minorHAnsi" w:hAnsiTheme="minorHAnsi"/>
          <w:sz w:val="22"/>
          <w:szCs w:val="22"/>
        </w:rPr>
        <w:t xml:space="preserve"> via </w:t>
      </w:r>
      <w:r w:rsidR="00D373C7">
        <w:rPr>
          <w:rFonts w:asciiTheme="minorHAnsi" w:hAnsiTheme="minorHAnsi"/>
          <w:sz w:val="22"/>
          <w:szCs w:val="22"/>
        </w:rPr>
        <w:t>sector averaging</w:t>
      </w:r>
      <w:r w:rsidR="00614E94">
        <w:rPr>
          <w:rFonts w:asciiTheme="minorHAnsi" w:hAnsiTheme="minorHAnsi"/>
          <w:sz w:val="22"/>
          <w:szCs w:val="22"/>
        </w:rPr>
        <w:t xml:space="preserve"> comprehensive</w:t>
      </w:r>
      <w:r w:rsidR="00E8411C">
        <w:rPr>
          <w:rFonts w:asciiTheme="minorHAnsi" w:hAnsiTheme="minorHAnsi"/>
          <w:sz w:val="22"/>
          <w:szCs w:val="22"/>
        </w:rPr>
        <w:t>ly</w:t>
      </w:r>
      <w:r w:rsidR="00614E94">
        <w:rPr>
          <w:rFonts w:asciiTheme="minorHAnsi" w:hAnsiTheme="minorHAnsi"/>
          <w:sz w:val="22"/>
          <w:szCs w:val="22"/>
        </w:rPr>
        <w:t xml:space="preserve"> fail</w:t>
      </w:r>
      <w:r w:rsidR="00E8411C">
        <w:rPr>
          <w:rFonts w:asciiTheme="minorHAnsi" w:hAnsiTheme="minorHAnsi"/>
          <w:sz w:val="22"/>
          <w:szCs w:val="22"/>
        </w:rPr>
        <w:t>s</w:t>
      </w:r>
      <w:r w:rsidR="00614E94">
        <w:rPr>
          <w:rFonts w:asciiTheme="minorHAnsi" w:hAnsiTheme="minorHAnsi"/>
          <w:sz w:val="22"/>
          <w:szCs w:val="22"/>
        </w:rPr>
        <w:t>.</w:t>
      </w:r>
    </w:p>
    <w:p w:rsidR="00AF424A" w:rsidRDefault="00EB0CE7" w:rsidP="00C15ABB">
      <w:pPr>
        <w:pStyle w:val="SP"/>
        <w:spacing w:after="0" w:line="240" w:lineRule="auto"/>
        <w:ind w:left="142" w:firstLine="0"/>
        <w:rPr>
          <w:rFonts w:asciiTheme="minorHAnsi" w:hAnsiTheme="minorHAnsi"/>
          <w:i/>
          <w:color w:val="7030A0"/>
          <w:sz w:val="22"/>
          <w:szCs w:val="22"/>
        </w:rPr>
      </w:pPr>
      <w:r w:rsidRPr="00AF424A">
        <w:rPr>
          <w:rFonts w:asciiTheme="minorHAnsi" w:eastAsiaTheme="minorHAnsi" w:hAnsiTheme="minorHAnsi" w:cstheme="minorBidi"/>
          <w:color w:val="000000" w:themeColor="text1"/>
          <w:sz w:val="22"/>
          <w:szCs w:val="22"/>
          <w:lang w:val="en-NZ"/>
        </w:rPr>
        <w:t xml:space="preserve"> </w:t>
      </w:r>
    </w:p>
    <w:tbl>
      <w:tblPr>
        <w:tblStyle w:val="TableGrid"/>
        <w:tblW w:w="0" w:type="auto"/>
        <w:tblInd w:w="562" w:type="dxa"/>
        <w:tblLook w:val="04A0" w:firstRow="1" w:lastRow="0" w:firstColumn="1" w:lastColumn="0" w:noHBand="0" w:noVBand="1"/>
      </w:tblPr>
      <w:tblGrid>
        <w:gridCol w:w="6663"/>
        <w:gridCol w:w="1984"/>
      </w:tblGrid>
      <w:tr w:rsidR="00D12D45" w:rsidRPr="000E3D85" w:rsidTr="00D373C7">
        <w:tc>
          <w:tcPr>
            <w:tcW w:w="6663" w:type="dxa"/>
            <w:shd w:val="clear" w:color="auto" w:fill="D9D9D9" w:themeFill="background1" w:themeFillShade="D9"/>
          </w:tcPr>
          <w:p w:rsidR="00D12D45" w:rsidRPr="00977520" w:rsidRDefault="00D12D45" w:rsidP="00C15ABB">
            <w:pPr>
              <w:ind w:left="142"/>
              <w:rPr>
                <w:b/>
              </w:rPr>
            </w:pPr>
            <w:r w:rsidRPr="00753254">
              <w:rPr>
                <w:b/>
                <w:color w:val="C45911" w:themeColor="accent2" w:themeShade="BF"/>
              </w:rPr>
              <w:t>RPS Policy WL 5B</w:t>
            </w:r>
            <w:r>
              <w:rPr>
                <w:b/>
                <w:color w:val="C45911" w:themeColor="accent2" w:themeShade="BF"/>
              </w:rPr>
              <w:t xml:space="preserve"> </w:t>
            </w:r>
            <w:r w:rsidR="00AF424A" w:rsidRPr="00977520">
              <w:rPr>
                <w:highlight w:val="lightGray"/>
              </w:rPr>
              <w:t>principles and considerations</w:t>
            </w:r>
          </w:p>
        </w:tc>
        <w:tc>
          <w:tcPr>
            <w:tcW w:w="1984" w:type="dxa"/>
            <w:shd w:val="clear" w:color="auto" w:fill="D9D9D9" w:themeFill="background1" w:themeFillShade="D9"/>
          </w:tcPr>
          <w:p w:rsidR="00D12D45" w:rsidRPr="00977520" w:rsidRDefault="00D373C7" w:rsidP="00D373C7">
            <w:pPr>
              <w:ind w:left="142"/>
              <w:rPr>
                <w:b/>
              </w:rPr>
            </w:pPr>
            <w:r>
              <w:rPr>
                <w:b/>
              </w:rPr>
              <w:t>sector ave</w:t>
            </w:r>
            <w:r w:rsidR="00DF434D">
              <w:rPr>
                <w:b/>
              </w:rPr>
              <w:t>rage</w:t>
            </w:r>
            <w:r w:rsidR="00D12D45">
              <w:rPr>
                <w:b/>
              </w:rPr>
              <w:t xml:space="preserve"> allocation </w:t>
            </w:r>
          </w:p>
        </w:tc>
      </w:tr>
      <w:tr w:rsidR="00D12D45" w:rsidRPr="000E3D85" w:rsidTr="00D373C7">
        <w:tc>
          <w:tcPr>
            <w:tcW w:w="6663" w:type="dxa"/>
          </w:tcPr>
          <w:p w:rsidR="00D12D45" w:rsidRPr="000E3D85" w:rsidRDefault="00D12D45" w:rsidP="00C15ABB">
            <w:pPr>
              <w:ind w:left="142"/>
            </w:pPr>
            <w:r w:rsidRPr="000E3D85">
              <w:t xml:space="preserve">(a) Equity/Fairness, including intergenerational equity; </w:t>
            </w:r>
          </w:p>
        </w:tc>
        <w:tc>
          <w:tcPr>
            <w:tcW w:w="1984" w:type="dxa"/>
            <w:vAlign w:val="center"/>
          </w:tcPr>
          <w:p w:rsidR="00D12D45" w:rsidRPr="00D12D45" w:rsidRDefault="00D12D45" w:rsidP="00C15ABB">
            <w:pPr>
              <w:ind w:left="142"/>
              <w:jc w:val="center"/>
              <w:rPr>
                <w:sz w:val="24"/>
                <w:szCs w:val="24"/>
              </w:rPr>
            </w:pPr>
            <w:r w:rsidRPr="00D12D45">
              <w:rPr>
                <w:b/>
                <w:sz w:val="24"/>
                <w:szCs w:val="24"/>
              </w:rPr>
              <w:t>X</w:t>
            </w:r>
          </w:p>
        </w:tc>
      </w:tr>
      <w:tr w:rsidR="00D12D45" w:rsidRPr="000E3D85" w:rsidTr="00D373C7">
        <w:tc>
          <w:tcPr>
            <w:tcW w:w="6663" w:type="dxa"/>
          </w:tcPr>
          <w:p w:rsidR="00D12D45" w:rsidRPr="000E3D85" w:rsidRDefault="00D12D45" w:rsidP="00C15ABB">
            <w:pPr>
              <w:ind w:left="142"/>
            </w:pPr>
            <w:r w:rsidRPr="000E3D85">
              <w:t>(b) Extent of the immediate impact</w:t>
            </w:r>
            <w:r w:rsidR="007B7C39">
              <w:t xml:space="preserve"> – </w:t>
            </w:r>
            <w:r w:rsidR="007B7C39" w:rsidRPr="007B7C39">
              <w:rPr>
                <w:i/>
              </w:rPr>
              <w:t>on water quality?</w:t>
            </w:r>
            <w:r w:rsidRPr="000E3D85">
              <w:t xml:space="preserve"> </w:t>
            </w:r>
          </w:p>
        </w:tc>
        <w:tc>
          <w:tcPr>
            <w:tcW w:w="1984" w:type="dxa"/>
            <w:vAlign w:val="center"/>
          </w:tcPr>
          <w:p w:rsidR="00D12D45" w:rsidRPr="007B7C39" w:rsidRDefault="007B7C39" w:rsidP="00C15ABB">
            <w:pPr>
              <w:ind w:left="142"/>
              <w:jc w:val="center"/>
              <w:rPr>
                <w:b/>
                <w:sz w:val="24"/>
                <w:szCs w:val="24"/>
              </w:rPr>
            </w:pPr>
            <w:r w:rsidRPr="007B7C39">
              <w:rPr>
                <w:b/>
                <w:sz w:val="24"/>
                <w:szCs w:val="24"/>
              </w:rPr>
              <w:t>X</w:t>
            </w:r>
          </w:p>
        </w:tc>
      </w:tr>
      <w:tr w:rsidR="00D12D45" w:rsidRPr="000E3D85" w:rsidTr="00D373C7">
        <w:tc>
          <w:tcPr>
            <w:tcW w:w="6663" w:type="dxa"/>
          </w:tcPr>
          <w:p w:rsidR="00D12D45" w:rsidRPr="000E3D85" w:rsidRDefault="00D12D45" w:rsidP="00C15ABB">
            <w:pPr>
              <w:ind w:left="142"/>
            </w:pPr>
            <w:r w:rsidRPr="000E3D85">
              <w:t xml:space="preserve">(c) Public and private benefits and costs; </w:t>
            </w:r>
          </w:p>
        </w:tc>
        <w:tc>
          <w:tcPr>
            <w:tcW w:w="1984" w:type="dxa"/>
            <w:vAlign w:val="center"/>
          </w:tcPr>
          <w:p w:rsidR="00D12D45" w:rsidRPr="00D12D45" w:rsidRDefault="00D12D45" w:rsidP="00C15ABB">
            <w:pPr>
              <w:ind w:left="142"/>
              <w:jc w:val="center"/>
              <w:rPr>
                <w:sz w:val="24"/>
                <w:szCs w:val="24"/>
              </w:rPr>
            </w:pPr>
            <w:r w:rsidRPr="00D12D45">
              <w:rPr>
                <w:b/>
                <w:sz w:val="24"/>
                <w:szCs w:val="24"/>
              </w:rPr>
              <w:t>X</w:t>
            </w:r>
          </w:p>
        </w:tc>
      </w:tr>
      <w:tr w:rsidR="00D12D45" w:rsidRPr="000E3D85" w:rsidTr="00D373C7">
        <w:tc>
          <w:tcPr>
            <w:tcW w:w="6663" w:type="dxa"/>
          </w:tcPr>
          <w:p w:rsidR="00D12D45" w:rsidRPr="000E3D85" w:rsidRDefault="00D12D45" w:rsidP="00C15ABB">
            <w:pPr>
              <w:ind w:left="142"/>
            </w:pPr>
            <w:r w:rsidRPr="000E3D85">
              <w:t xml:space="preserve">(d) Iwi land ownership and its status including any Crown obligation; </w:t>
            </w:r>
          </w:p>
        </w:tc>
        <w:tc>
          <w:tcPr>
            <w:tcW w:w="1984" w:type="dxa"/>
          </w:tcPr>
          <w:p w:rsidR="00D12D45" w:rsidRPr="00D12D45" w:rsidRDefault="00D12D45" w:rsidP="00C15ABB">
            <w:pPr>
              <w:ind w:left="142"/>
              <w:jc w:val="center"/>
              <w:rPr>
                <w:sz w:val="24"/>
                <w:szCs w:val="24"/>
              </w:rPr>
            </w:pPr>
            <w:r w:rsidRPr="00D12D45">
              <w:rPr>
                <w:b/>
                <w:sz w:val="24"/>
                <w:szCs w:val="24"/>
              </w:rPr>
              <w:t>X</w:t>
            </w:r>
          </w:p>
        </w:tc>
      </w:tr>
      <w:tr w:rsidR="00D12D45" w:rsidRPr="000E3D85" w:rsidTr="00D373C7">
        <w:tc>
          <w:tcPr>
            <w:tcW w:w="6663" w:type="dxa"/>
          </w:tcPr>
          <w:p w:rsidR="00D12D45" w:rsidRPr="000E3D85" w:rsidRDefault="00D12D45" w:rsidP="00C15ABB">
            <w:pPr>
              <w:ind w:left="142"/>
            </w:pPr>
            <w:r w:rsidRPr="000E3D85">
              <w:t xml:space="preserve">(e) Cultural values; </w:t>
            </w:r>
          </w:p>
        </w:tc>
        <w:tc>
          <w:tcPr>
            <w:tcW w:w="1984" w:type="dxa"/>
          </w:tcPr>
          <w:p w:rsidR="00D12D45" w:rsidRPr="00D12D45" w:rsidRDefault="00D12D45" w:rsidP="00C15ABB">
            <w:pPr>
              <w:ind w:left="142"/>
              <w:jc w:val="center"/>
              <w:rPr>
                <w:sz w:val="24"/>
                <w:szCs w:val="24"/>
              </w:rPr>
            </w:pPr>
            <w:r w:rsidRPr="00D12D45">
              <w:rPr>
                <w:b/>
                <w:sz w:val="24"/>
                <w:szCs w:val="24"/>
              </w:rPr>
              <w:t>X</w:t>
            </w:r>
          </w:p>
        </w:tc>
      </w:tr>
      <w:tr w:rsidR="00D12D45" w:rsidRPr="000E3D85" w:rsidTr="00D373C7">
        <w:tc>
          <w:tcPr>
            <w:tcW w:w="6663" w:type="dxa"/>
          </w:tcPr>
          <w:p w:rsidR="00D12D45" w:rsidRPr="000E3D85" w:rsidRDefault="00D12D45" w:rsidP="00C15ABB">
            <w:pPr>
              <w:ind w:left="142"/>
            </w:pPr>
            <w:r w:rsidRPr="000E3D85">
              <w:t xml:space="preserve">(f) Resource use efficiency; </w:t>
            </w:r>
          </w:p>
        </w:tc>
        <w:tc>
          <w:tcPr>
            <w:tcW w:w="1984" w:type="dxa"/>
          </w:tcPr>
          <w:p w:rsidR="00D12D45" w:rsidRPr="00D12D45" w:rsidRDefault="00D12D45" w:rsidP="00C15ABB">
            <w:pPr>
              <w:ind w:left="142"/>
              <w:jc w:val="center"/>
              <w:rPr>
                <w:sz w:val="24"/>
                <w:szCs w:val="24"/>
              </w:rPr>
            </w:pPr>
            <w:r w:rsidRPr="00D12D45">
              <w:rPr>
                <w:b/>
                <w:sz w:val="24"/>
                <w:szCs w:val="24"/>
              </w:rPr>
              <w:t>X</w:t>
            </w:r>
          </w:p>
        </w:tc>
      </w:tr>
      <w:tr w:rsidR="00D12D45" w:rsidRPr="000E3D85" w:rsidTr="00D373C7">
        <w:tc>
          <w:tcPr>
            <w:tcW w:w="6663" w:type="dxa"/>
          </w:tcPr>
          <w:p w:rsidR="00D12D45" w:rsidRPr="000E3D85" w:rsidRDefault="00D12D45" w:rsidP="00C15ABB">
            <w:pPr>
              <w:ind w:left="142"/>
            </w:pPr>
            <w:r w:rsidRPr="000E3D85">
              <w:t xml:space="preserve">(g) Existing land use; </w:t>
            </w:r>
          </w:p>
        </w:tc>
        <w:tc>
          <w:tcPr>
            <w:tcW w:w="1984" w:type="dxa"/>
            <w:vAlign w:val="center"/>
          </w:tcPr>
          <w:p w:rsidR="00D12D45" w:rsidRPr="00D12D45" w:rsidRDefault="00D12D45" w:rsidP="00C15ABB">
            <w:pPr>
              <w:ind w:left="142"/>
              <w:jc w:val="center"/>
              <w:rPr>
                <w:sz w:val="24"/>
                <w:szCs w:val="24"/>
              </w:rPr>
            </w:pPr>
            <w:r w:rsidRPr="00D12D45">
              <w:rPr>
                <w:sz w:val="24"/>
                <w:szCs w:val="24"/>
              </w:rPr>
              <w:sym w:font="Wingdings 2" w:char="F050"/>
            </w:r>
          </w:p>
        </w:tc>
      </w:tr>
      <w:tr w:rsidR="00D12D45" w:rsidRPr="000E3D85" w:rsidTr="00D373C7">
        <w:tc>
          <w:tcPr>
            <w:tcW w:w="6663" w:type="dxa"/>
          </w:tcPr>
          <w:p w:rsidR="00D12D45" w:rsidRPr="000E3D85" w:rsidRDefault="00D12D45" w:rsidP="00C15ABB">
            <w:pPr>
              <w:ind w:left="142"/>
            </w:pPr>
            <w:r w:rsidRPr="000E3D85">
              <w:t xml:space="preserve">(h) Existing on farm capital investment; and </w:t>
            </w:r>
          </w:p>
        </w:tc>
        <w:tc>
          <w:tcPr>
            <w:tcW w:w="1984" w:type="dxa"/>
            <w:vAlign w:val="center"/>
          </w:tcPr>
          <w:p w:rsidR="00D12D45" w:rsidRPr="00D12D45" w:rsidRDefault="00D12D45" w:rsidP="00C15ABB">
            <w:pPr>
              <w:ind w:left="142"/>
              <w:jc w:val="center"/>
              <w:rPr>
                <w:sz w:val="24"/>
                <w:szCs w:val="24"/>
              </w:rPr>
            </w:pPr>
            <w:r w:rsidRPr="00D12D45">
              <w:rPr>
                <w:sz w:val="24"/>
                <w:szCs w:val="24"/>
              </w:rPr>
              <w:sym w:font="Wingdings 2" w:char="F050"/>
            </w:r>
          </w:p>
        </w:tc>
      </w:tr>
      <w:tr w:rsidR="00D12D45" w:rsidRPr="000E3D85" w:rsidTr="00D373C7">
        <w:tc>
          <w:tcPr>
            <w:tcW w:w="6663" w:type="dxa"/>
          </w:tcPr>
          <w:p w:rsidR="00D12D45" w:rsidRPr="000E3D85" w:rsidRDefault="00D12D45" w:rsidP="00C15ABB">
            <w:pPr>
              <w:ind w:left="142"/>
            </w:pPr>
            <w:r w:rsidRPr="000E3D85">
              <w:t>(</w:t>
            </w:r>
            <w:proofErr w:type="spellStart"/>
            <w:r w:rsidRPr="000E3D85">
              <w:t>i</w:t>
            </w:r>
            <w:proofErr w:type="spellEnd"/>
            <w:r w:rsidRPr="000E3D85">
              <w:t>) Ease of transfer of the allocation.</w:t>
            </w:r>
          </w:p>
        </w:tc>
        <w:tc>
          <w:tcPr>
            <w:tcW w:w="1984" w:type="dxa"/>
            <w:vAlign w:val="center"/>
          </w:tcPr>
          <w:p w:rsidR="00D12D45" w:rsidRPr="00D12D45" w:rsidRDefault="00D12D45" w:rsidP="00C15ABB">
            <w:pPr>
              <w:ind w:left="142"/>
              <w:jc w:val="center"/>
              <w:rPr>
                <w:sz w:val="24"/>
                <w:szCs w:val="24"/>
              </w:rPr>
            </w:pPr>
            <w:r w:rsidRPr="00D12D45">
              <w:rPr>
                <w:b/>
                <w:sz w:val="24"/>
                <w:szCs w:val="24"/>
              </w:rPr>
              <w:t>X</w:t>
            </w:r>
          </w:p>
        </w:tc>
      </w:tr>
    </w:tbl>
    <w:p w:rsidR="00D12D45" w:rsidRDefault="00D12D45" w:rsidP="00C15ABB">
      <w:pPr>
        <w:ind w:left="142"/>
      </w:pPr>
    </w:p>
    <w:p w:rsidR="00E8411C" w:rsidRDefault="00E8411C" w:rsidP="0024408F">
      <w:pPr>
        <w:pStyle w:val="SP"/>
        <w:numPr>
          <w:ilvl w:val="0"/>
          <w:numId w:val="28"/>
        </w:numPr>
        <w:autoSpaceDE w:val="0"/>
        <w:autoSpaceDN w:val="0"/>
        <w:adjustRightInd w:val="0"/>
        <w:spacing w:after="0" w:line="240" w:lineRule="auto"/>
        <w:ind w:left="501"/>
        <w:jc w:val="left"/>
        <w:rPr>
          <w:rFonts w:asciiTheme="minorHAnsi" w:hAnsiTheme="minorHAnsi"/>
          <w:sz w:val="22"/>
          <w:szCs w:val="22"/>
        </w:rPr>
      </w:pPr>
      <w:r>
        <w:rPr>
          <w:rFonts w:asciiTheme="minorHAnsi" w:hAnsiTheme="minorHAnsi"/>
          <w:sz w:val="22"/>
          <w:szCs w:val="22"/>
        </w:rPr>
        <w:t xml:space="preserve">The </w:t>
      </w:r>
      <w:r w:rsidR="00614E94" w:rsidRPr="00D373C7">
        <w:rPr>
          <w:rFonts w:asciiTheme="minorHAnsi" w:hAnsiTheme="minorHAnsi"/>
          <w:sz w:val="22"/>
          <w:szCs w:val="22"/>
        </w:rPr>
        <w:t xml:space="preserve">Plan Change 10 </w:t>
      </w:r>
      <w:r>
        <w:rPr>
          <w:rFonts w:asciiTheme="minorHAnsi" w:hAnsiTheme="minorHAnsi"/>
          <w:sz w:val="22"/>
          <w:szCs w:val="22"/>
        </w:rPr>
        <w:t xml:space="preserve">process </w:t>
      </w:r>
      <w:r w:rsidR="00614E94" w:rsidRPr="00D373C7">
        <w:rPr>
          <w:rFonts w:asciiTheme="minorHAnsi" w:hAnsiTheme="minorHAnsi"/>
          <w:sz w:val="22"/>
          <w:szCs w:val="22"/>
        </w:rPr>
        <w:t>assess</w:t>
      </w:r>
      <w:r w:rsidR="007B7C39">
        <w:rPr>
          <w:rFonts w:asciiTheme="minorHAnsi" w:hAnsiTheme="minorHAnsi"/>
          <w:sz w:val="22"/>
          <w:szCs w:val="22"/>
        </w:rPr>
        <w:t xml:space="preserve">ed the possible </w:t>
      </w:r>
      <w:r w:rsidR="00ED3F8D" w:rsidRPr="00D373C7">
        <w:rPr>
          <w:rFonts w:asciiTheme="minorHAnsi" w:hAnsiTheme="minorHAnsi"/>
          <w:sz w:val="22"/>
          <w:szCs w:val="22"/>
        </w:rPr>
        <w:t>polic</w:t>
      </w:r>
      <w:r w:rsidR="007B7C39">
        <w:rPr>
          <w:rFonts w:asciiTheme="minorHAnsi" w:hAnsiTheme="minorHAnsi"/>
          <w:sz w:val="22"/>
          <w:szCs w:val="22"/>
        </w:rPr>
        <w:t>ies</w:t>
      </w:r>
      <w:r w:rsidR="00ED3F8D" w:rsidRPr="00D373C7">
        <w:rPr>
          <w:rFonts w:asciiTheme="minorHAnsi" w:hAnsiTheme="minorHAnsi"/>
          <w:sz w:val="22"/>
          <w:szCs w:val="22"/>
        </w:rPr>
        <w:t xml:space="preserve"> </w:t>
      </w:r>
      <w:r w:rsidR="007B7C39">
        <w:rPr>
          <w:rFonts w:asciiTheme="minorHAnsi" w:hAnsiTheme="minorHAnsi"/>
          <w:sz w:val="22"/>
          <w:szCs w:val="22"/>
        </w:rPr>
        <w:t xml:space="preserve">against 13 </w:t>
      </w:r>
      <w:r w:rsidR="00614E94" w:rsidRPr="00D373C7">
        <w:rPr>
          <w:rFonts w:asciiTheme="minorHAnsi" w:hAnsiTheme="minorHAnsi"/>
          <w:sz w:val="22"/>
          <w:szCs w:val="22"/>
        </w:rPr>
        <w:t>parameters</w:t>
      </w:r>
      <w:r w:rsidR="007B7C39">
        <w:rPr>
          <w:rFonts w:asciiTheme="minorHAnsi" w:hAnsiTheme="minorHAnsi"/>
          <w:sz w:val="22"/>
          <w:szCs w:val="22"/>
        </w:rPr>
        <w:t xml:space="preserve">.  Nine from the RPS and a further four </w:t>
      </w:r>
      <w:r w:rsidR="00614E94" w:rsidRPr="00D373C7">
        <w:rPr>
          <w:rFonts w:asciiTheme="minorHAnsi" w:hAnsiTheme="minorHAnsi"/>
          <w:sz w:val="22"/>
          <w:szCs w:val="22"/>
        </w:rPr>
        <w:t xml:space="preserve">developed by the Lake Rotorua Primary Producers Collective, </w:t>
      </w:r>
      <w:r>
        <w:rPr>
          <w:rFonts w:asciiTheme="minorHAnsi" w:hAnsiTheme="minorHAnsi"/>
          <w:sz w:val="22"/>
          <w:szCs w:val="22"/>
        </w:rPr>
        <w:t xml:space="preserve">a sub-group of </w:t>
      </w:r>
      <w:proofErr w:type="spellStart"/>
      <w:r>
        <w:rPr>
          <w:rFonts w:asciiTheme="minorHAnsi" w:hAnsiTheme="minorHAnsi"/>
          <w:sz w:val="22"/>
          <w:szCs w:val="22"/>
        </w:rPr>
        <w:t>StAG</w:t>
      </w:r>
      <w:proofErr w:type="spellEnd"/>
      <w:r w:rsidR="00DF434D">
        <w:rPr>
          <w:rFonts w:asciiTheme="minorHAnsi" w:hAnsiTheme="minorHAnsi"/>
          <w:sz w:val="22"/>
          <w:szCs w:val="22"/>
        </w:rPr>
        <w:t xml:space="preserve">.  This </w:t>
      </w:r>
      <w:r>
        <w:rPr>
          <w:rFonts w:asciiTheme="minorHAnsi" w:hAnsiTheme="minorHAnsi"/>
          <w:sz w:val="22"/>
          <w:szCs w:val="22"/>
        </w:rPr>
        <w:t xml:space="preserve">had the effect of </w:t>
      </w:r>
      <w:r w:rsidR="007B7C39">
        <w:rPr>
          <w:rFonts w:asciiTheme="minorHAnsi" w:hAnsiTheme="minorHAnsi"/>
          <w:sz w:val="22"/>
          <w:szCs w:val="22"/>
        </w:rPr>
        <w:t>significantly over</w:t>
      </w:r>
      <w:r w:rsidR="00D373C7" w:rsidRPr="00D373C7">
        <w:rPr>
          <w:rFonts w:asciiTheme="minorHAnsi" w:hAnsiTheme="minorHAnsi"/>
          <w:sz w:val="22"/>
          <w:szCs w:val="22"/>
        </w:rPr>
        <w:t xml:space="preserve">weighting WL </w:t>
      </w:r>
      <w:proofErr w:type="gramStart"/>
      <w:r w:rsidR="00D373C7" w:rsidRPr="00D373C7">
        <w:rPr>
          <w:rFonts w:asciiTheme="minorHAnsi" w:hAnsiTheme="minorHAnsi"/>
          <w:sz w:val="22"/>
          <w:szCs w:val="22"/>
        </w:rPr>
        <w:t>5B(</w:t>
      </w:r>
      <w:proofErr w:type="gramEnd"/>
      <w:r w:rsidR="00D373C7" w:rsidRPr="00D373C7">
        <w:rPr>
          <w:rFonts w:asciiTheme="minorHAnsi" w:hAnsiTheme="minorHAnsi"/>
          <w:sz w:val="22"/>
          <w:szCs w:val="22"/>
        </w:rPr>
        <w:t xml:space="preserve">h) </w:t>
      </w:r>
      <w:r w:rsidR="007B7C39">
        <w:rPr>
          <w:rFonts w:asciiTheme="minorHAnsi" w:hAnsiTheme="minorHAnsi"/>
          <w:sz w:val="22"/>
          <w:szCs w:val="22"/>
        </w:rPr>
        <w:t xml:space="preserve">It </w:t>
      </w:r>
      <w:r w:rsidR="00D373C7" w:rsidRPr="00D373C7">
        <w:rPr>
          <w:rFonts w:asciiTheme="minorHAnsi" w:hAnsiTheme="minorHAnsi"/>
          <w:sz w:val="22"/>
          <w:szCs w:val="22"/>
        </w:rPr>
        <w:t xml:space="preserve">interpreted </w:t>
      </w:r>
      <w:r w:rsidR="00D373C7" w:rsidRPr="009E1B20">
        <w:rPr>
          <w:rFonts w:asciiTheme="minorHAnsi" w:hAnsiTheme="minorHAnsi"/>
          <w:sz w:val="22"/>
          <w:szCs w:val="22"/>
        </w:rPr>
        <w:t>“inter</w:t>
      </w:r>
      <w:r w:rsidR="00ED3F8D" w:rsidRPr="009E1B20">
        <w:rPr>
          <w:rFonts w:asciiTheme="minorHAnsi" w:hAnsiTheme="minorHAnsi"/>
          <w:sz w:val="22"/>
          <w:szCs w:val="22"/>
        </w:rPr>
        <w:t xml:space="preserve">generational equity” </w:t>
      </w:r>
      <w:r w:rsidR="009E1B20" w:rsidRPr="009E1B20">
        <w:rPr>
          <w:rFonts w:asciiTheme="minorHAnsi" w:hAnsiTheme="minorHAnsi"/>
          <w:sz w:val="22"/>
          <w:szCs w:val="22"/>
        </w:rPr>
        <w:t>as meaning</w:t>
      </w:r>
      <w:r w:rsidR="00ED3F8D" w:rsidRPr="009E1B20">
        <w:rPr>
          <w:rFonts w:asciiTheme="minorHAnsi" w:hAnsiTheme="minorHAnsi"/>
          <w:sz w:val="22"/>
          <w:szCs w:val="22"/>
        </w:rPr>
        <w:t xml:space="preserve"> future generations </w:t>
      </w:r>
      <w:r w:rsidR="009E1B20">
        <w:rPr>
          <w:rFonts w:asciiTheme="minorHAnsi" w:hAnsiTheme="minorHAnsi"/>
          <w:sz w:val="22"/>
          <w:szCs w:val="22"/>
        </w:rPr>
        <w:t xml:space="preserve">should </w:t>
      </w:r>
      <w:r w:rsidR="00ED3F8D" w:rsidRPr="009E1B20">
        <w:rPr>
          <w:rFonts w:asciiTheme="minorHAnsi" w:hAnsiTheme="minorHAnsi"/>
          <w:sz w:val="22"/>
          <w:szCs w:val="22"/>
        </w:rPr>
        <w:t xml:space="preserve">not bear the costs of </w:t>
      </w:r>
      <w:r>
        <w:rPr>
          <w:rFonts w:asciiTheme="minorHAnsi" w:hAnsiTheme="minorHAnsi"/>
          <w:sz w:val="22"/>
          <w:szCs w:val="22"/>
        </w:rPr>
        <w:t xml:space="preserve">no or insufficient action now. </w:t>
      </w:r>
      <w:r w:rsidR="009E1B20">
        <w:rPr>
          <w:rFonts w:asciiTheme="minorHAnsi" w:hAnsiTheme="minorHAnsi"/>
          <w:sz w:val="22"/>
          <w:szCs w:val="22"/>
        </w:rPr>
        <w:t xml:space="preserve"> A</w:t>
      </w:r>
      <w:r w:rsidR="00DF434D">
        <w:rPr>
          <w:rFonts w:asciiTheme="minorHAnsi" w:hAnsiTheme="minorHAnsi"/>
          <w:sz w:val="22"/>
          <w:szCs w:val="22"/>
        </w:rPr>
        <w:t xml:space="preserve"> possibly more</w:t>
      </w:r>
      <w:r w:rsidR="009E1B20">
        <w:rPr>
          <w:rFonts w:asciiTheme="minorHAnsi" w:hAnsiTheme="minorHAnsi"/>
          <w:sz w:val="22"/>
          <w:szCs w:val="22"/>
        </w:rPr>
        <w:t xml:space="preserve"> valid interpretation of </w:t>
      </w:r>
      <w:r w:rsidR="009E1B20" w:rsidRPr="009E1B20">
        <w:rPr>
          <w:rFonts w:asciiTheme="minorHAnsi" w:hAnsiTheme="minorHAnsi"/>
          <w:sz w:val="22"/>
          <w:szCs w:val="22"/>
        </w:rPr>
        <w:t>intergenerational equity</w:t>
      </w:r>
      <w:r w:rsidR="009E1B20">
        <w:rPr>
          <w:rFonts w:asciiTheme="minorHAnsi" w:hAnsiTheme="minorHAnsi"/>
          <w:sz w:val="22"/>
          <w:szCs w:val="22"/>
        </w:rPr>
        <w:t xml:space="preserve"> would be that future generations’ land use choices should not be constrained </w:t>
      </w:r>
      <w:r w:rsidR="003E3752">
        <w:rPr>
          <w:rFonts w:asciiTheme="minorHAnsi" w:hAnsiTheme="minorHAnsi"/>
          <w:sz w:val="22"/>
          <w:szCs w:val="22"/>
        </w:rPr>
        <w:t>to</w:t>
      </w:r>
      <w:r w:rsidR="009E1B20">
        <w:rPr>
          <w:rFonts w:asciiTheme="minorHAnsi" w:hAnsiTheme="minorHAnsi"/>
          <w:sz w:val="22"/>
          <w:szCs w:val="22"/>
        </w:rPr>
        <w:t xml:space="preserve"> land use choices </w:t>
      </w:r>
      <w:r w:rsidR="003E3752">
        <w:rPr>
          <w:rFonts w:asciiTheme="minorHAnsi" w:hAnsiTheme="minorHAnsi"/>
          <w:sz w:val="22"/>
          <w:szCs w:val="22"/>
        </w:rPr>
        <w:t xml:space="preserve">of </w:t>
      </w:r>
      <w:r w:rsidR="009E1B20">
        <w:rPr>
          <w:rFonts w:asciiTheme="minorHAnsi" w:hAnsiTheme="minorHAnsi"/>
          <w:sz w:val="22"/>
          <w:szCs w:val="22"/>
        </w:rPr>
        <w:t xml:space="preserve">today.  </w:t>
      </w:r>
    </w:p>
    <w:p w:rsidR="00231314" w:rsidRDefault="00231314" w:rsidP="00231314">
      <w:pPr>
        <w:pStyle w:val="SP"/>
        <w:autoSpaceDE w:val="0"/>
        <w:autoSpaceDN w:val="0"/>
        <w:adjustRightInd w:val="0"/>
        <w:spacing w:after="0" w:line="240" w:lineRule="auto"/>
        <w:ind w:left="501" w:firstLine="0"/>
        <w:jc w:val="left"/>
        <w:rPr>
          <w:rFonts w:asciiTheme="minorHAnsi" w:hAnsiTheme="minorHAnsi"/>
          <w:sz w:val="22"/>
          <w:szCs w:val="22"/>
        </w:rPr>
      </w:pPr>
    </w:p>
    <w:p w:rsidR="00ED3F8D" w:rsidRDefault="007B7C39" w:rsidP="0024408F">
      <w:pPr>
        <w:pStyle w:val="SP"/>
        <w:numPr>
          <w:ilvl w:val="0"/>
          <w:numId w:val="28"/>
        </w:numPr>
        <w:autoSpaceDE w:val="0"/>
        <w:autoSpaceDN w:val="0"/>
        <w:adjustRightInd w:val="0"/>
        <w:spacing w:after="0" w:line="240" w:lineRule="auto"/>
        <w:ind w:left="501"/>
        <w:jc w:val="left"/>
        <w:rPr>
          <w:rFonts w:asciiTheme="minorHAnsi" w:hAnsiTheme="minorHAnsi"/>
          <w:sz w:val="22"/>
          <w:szCs w:val="22"/>
        </w:rPr>
      </w:pPr>
      <w:r w:rsidRPr="0024408F">
        <w:rPr>
          <w:rFonts w:asciiTheme="minorHAnsi" w:hAnsiTheme="minorHAnsi"/>
          <w:color w:val="000000" w:themeColor="text1"/>
          <w:sz w:val="22"/>
          <w:szCs w:val="22"/>
        </w:rPr>
        <w:t>V</w:t>
      </w:r>
      <w:r w:rsidR="002D0E7F" w:rsidRPr="0024408F">
        <w:rPr>
          <w:rFonts w:asciiTheme="minorHAnsi" w:hAnsiTheme="minorHAnsi"/>
          <w:color w:val="000000" w:themeColor="text1"/>
          <w:sz w:val="22"/>
          <w:szCs w:val="22"/>
        </w:rPr>
        <w:t>arious</w:t>
      </w:r>
      <w:r w:rsidR="002D0E7F">
        <w:rPr>
          <w:rFonts w:asciiTheme="minorHAnsi" w:hAnsiTheme="minorHAnsi"/>
          <w:sz w:val="22"/>
          <w:szCs w:val="22"/>
        </w:rPr>
        <w:t xml:space="preserve"> </w:t>
      </w:r>
      <w:r>
        <w:rPr>
          <w:rFonts w:asciiTheme="minorHAnsi" w:hAnsiTheme="minorHAnsi"/>
          <w:sz w:val="22"/>
          <w:szCs w:val="22"/>
        </w:rPr>
        <w:t xml:space="preserve">policy </w:t>
      </w:r>
      <w:r w:rsidR="002D0E7F">
        <w:rPr>
          <w:rFonts w:asciiTheme="minorHAnsi" w:hAnsiTheme="minorHAnsi"/>
          <w:sz w:val="22"/>
          <w:szCs w:val="22"/>
        </w:rPr>
        <w:t xml:space="preserve">options </w:t>
      </w:r>
      <w:r>
        <w:rPr>
          <w:rFonts w:asciiTheme="minorHAnsi" w:hAnsiTheme="minorHAnsi"/>
          <w:sz w:val="22"/>
          <w:szCs w:val="22"/>
        </w:rPr>
        <w:t>were assessed in the Section 42A report</w:t>
      </w:r>
      <w:r w:rsidR="002D0E7F">
        <w:rPr>
          <w:rFonts w:asciiTheme="minorHAnsi" w:hAnsiTheme="minorHAnsi"/>
          <w:sz w:val="22"/>
          <w:szCs w:val="22"/>
        </w:rPr>
        <w:t xml:space="preserve">.  </w:t>
      </w:r>
      <w:r>
        <w:rPr>
          <w:rFonts w:asciiTheme="minorHAnsi" w:hAnsiTheme="minorHAnsi"/>
          <w:sz w:val="22"/>
          <w:szCs w:val="22"/>
        </w:rPr>
        <w:t xml:space="preserve">Several were </w:t>
      </w:r>
      <w:r w:rsidR="0035596E">
        <w:rPr>
          <w:rFonts w:asciiTheme="minorHAnsi" w:hAnsiTheme="minorHAnsi"/>
          <w:sz w:val="22"/>
          <w:szCs w:val="22"/>
        </w:rPr>
        <w:t>ruled</w:t>
      </w:r>
      <w:r w:rsidR="003E3752">
        <w:rPr>
          <w:rFonts w:asciiTheme="minorHAnsi" w:hAnsiTheme="minorHAnsi"/>
          <w:sz w:val="22"/>
          <w:szCs w:val="22"/>
        </w:rPr>
        <w:t xml:space="preserve"> out </w:t>
      </w:r>
      <w:r w:rsidR="008375FA">
        <w:rPr>
          <w:rFonts w:asciiTheme="minorHAnsi" w:hAnsiTheme="minorHAnsi"/>
          <w:sz w:val="22"/>
          <w:szCs w:val="22"/>
        </w:rPr>
        <w:t xml:space="preserve">without </w:t>
      </w:r>
      <w:r w:rsidR="00C04979">
        <w:rPr>
          <w:rFonts w:asciiTheme="minorHAnsi" w:hAnsiTheme="minorHAnsi"/>
          <w:sz w:val="22"/>
          <w:szCs w:val="22"/>
        </w:rPr>
        <w:t xml:space="preserve">proper </w:t>
      </w:r>
      <w:r w:rsidR="008375FA">
        <w:rPr>
          <w:rFonts w:asciiTheme="minorHAnsi" w:hAnsiTheme="minorHAnsi"/>
          <w:sz w:val="22"/>
          <w:szCs w:val="22"/>
        </w:rPr>
        <w:t>explanation</w:t>
      </w:r>
      <w:r w:rsidR="00C04979">
        <w:rPr>
          <w:rFonts w:asciiTheme="minorHAnsi" w:hAnsiTheme="minorHAnsi"/>
          <w:sz w:val="22"/>
          <w:szCs w:val="22"/>
        </w:rPr>
        <w:t xml:space="preserve"> or</w:t>
      </w:r>
      <w:r w:rsidR="00D06B71">
        <w:rPr>
          <w:rFonts w:asciiTheme="minorHAnsi" w:hAnsiTheme="minorHAnsi"/>
          <w:sz w:val="22"/>
          <w:szCs w:val="22"/>
        </w:rPr>
        <w:t xml:space="preserve"> support</w:t>
      </w:r>
      <w:r w:rsidR="008375FA">
        <w:rPr>
          <w:rFonts w:asciiTheme="minorHAnsi" w:hAnsiTheme="minorHAnsi"/>
          <w:sz w:val="22"/>
          <w:szCs w:val="22"/>
        </w:rPr>
        <w:t>ing</w:t>
      </w:r>
      <w:r w:rsidR="00D06B71">
        <w:rPr>
          <w:rFonts w:asciiTheme="minorHAnsi" w:hAnsiTheme="minorHAnsi"/>
          <w:sz w:val="22"/>
          <w:szCs w:val="22"/>
        </w:rPr>
        <w:t xml:space="preserve"> evidence</w:t>
      </w:r>
      <w:r w:rsidR="00E8411C">
        <w:rPr>
          <w:rFonts w:asciiTheme="minorHAnsi" w:hAnsiTheme="minorHAnsi"/>
          <w:sz w:val="22"/>
          <w:szCs w:val="22"/>
        </w:rPr>
        <w:t xml:space="preserve">. </w:t>
      </w:r>
      <w:r w:rsidR="00D06B71">
        <w:rPr>
          <w:rFonts w:asciiTheme="minorHAnsi" w:hAnsiTheme="minorHAnsi"/>
          <w:sz w:val="22"/>
          <w:szCs w:val="22"/>
        </w:rPr>
        <w:t xml:space="preserve"> </w:t>
      </w:r>
    </w:p>
    <w:p w:rsidR="008A274A" w:rsidRPr="003B7AD1" w:rsidRDefault="008A274A" w:rsidP="008A274A">
      <w:pPr>
        <w:pStyle w:val="Default"/>
        <w:rPr>
          <w:rFonts w:asciiTheme="minorHAnsi" w:hAnsiTheme="minorHAnsi"/>
          <w:color w:val="000000" w:themeColor="text1"/>
          <w:sz w:val="22"/>
          <w:szCs w:val="22"/>
        </w:rPr>
      </w:pPr>
    </w:p>
    <w:p w:rsidR="008A274A" w:rsidRPr="00787CBE" w:rsidRDefault="008375FA" w:rsidP="0024408F">
      <w:pPr>
        <w:pStyle w:val="SP"/>
        <w:numPr>
          <w:ilvl w:val="0"/>
          <w:numId w:val="28"/>
        </w:numPr>
        <w:autoSpaceDE w:val="0"/>
        <w:autoSpaceDN w:val="0"/>
        <w:adjustRightInd w:val="0"/>
        <w:spacing w:after="0" w:line="240" w:lineRule="auto"/>
        <w:ind w:left="501"/>
        <w:jc w:val="left"/>
        <w:rPr>
          <w:rFonts w:asciiTheme="minorHAnsi" w:hAnsiTheme="minorHAnsi"/>
          <w:color w:val="000000" w:themeColor="text1"/>
          <w:sz w:val="22"/>
          <w:szCs w:val="22"/>
        </w:rPr>
      </w:pPr>
      <w:r>
        <w:rPr>
          <w:rFonts w:asciiTheme="minorHAnsi" w:hAnsiTheme="minorHAnsi"/>
          <w:color w:val="000000" w:themeColor="text1"/>
          <w:sz w:val="22"/>
          <w:szCs w:val="22"/>
        </w:rPr>
        <w:t>A</w:t>
      </w:r>
      <w:r w:rsidR="008A274A" w:rsidRPr="003B7AD1">
        <w:rPr>
          <w:rFonts w:asciiTheme="minorHAnsi" w:hAnsiTheme="minorHAnsi"/>
          <w:color w:val="000000" w:themeColor="text1"/>
          <w:sz w:val="22"/>
          <w:szCs w:val="22"/>
        </w:rPr>
        <w:t>dd</w:t>
      </w:r>
      <w:r>
        <w:rPr>
          <w:rFonts w:asciiTheme="minorHAnsi" w:hAnsiTheme="minorHAnsi"/>
          <w:color w:val="000000" w:themeColor="text1"/>
          <w:sz w:val="22"/>
          <w:szCs w:val="22"/>
        </w:rPr>
        <w:t>ing</w:t>
      </w:r>
      <w:r w:rsidR="008A274A" w:rsidRPr="003B7AD1">
        <w:rPr>
          <w:rFonts w:asciiTheme="minorHAnsi" w:hAnsiTheme="minorHAnsi"/>
          <w:color w:val="000000" w:themeColor="text1"/>
          <w:sz w:val="22"/>
          <w:szCs w:val="22"/>
        </w:rPr>
        <w:t xml:space="preserve"> an objective and policy </w:t>
      </w:r>
      <w:r w:rsidR="008A274A" w:rsidRPr="003B7AD1">
        <w:rPr>
          <w:rFonts w:asciiTheme="minorHAnsi" w:hAnsiTheme="minorHAnsi"/>
          <w:i/>
          <w:color w:val="000000" w:themeColor="text1"/>
          <w:sz w:val="22"/>
          <w:szCs w:val="22"/>
        </w:rPr>
        <w:t xml:space="preserve">providing for flexibility of </w:t>
      </w:r>
      <w:r w:rsidR="00C04979">
        <w:rPr>
          <w:rFonts w:asciiTheme="minorHAnsi" w:hAnsiTheme="minorHAnsi"/>
          <w:i/>
          <w:color w:val="000000" w:themeColor="text1"/>
          <w:sz w:val="22"/>
          <w:szCs w:val="22"/>
        </w:rPr>
        <w:t>…</w:t>
      </w:r>
      <w:r w:rsidR="006020C1" w:rsidRPr="003B7AD1">
        <w:rPr>
          <w:rFonts w:asciiTheme="minorHAnsi" w:hAnsiTheme="minorHAnsi"/>
          <w:i/>
          <w:color w:val="000000" w:themeColor="text1"/>
          <w:sz w:val="22"/>
          <w:szCs w:val="22"/>
        </w:rPr>
        <w:t>F</w:t>
      </w:r>
      <w:r w:rsidR="008A274A" w:rsidRPr="003B7AD1">
        <w:rPr>
          <w:rFonts w:asciiTheme="minorHAnsi" w:hAnsiTheme="minorHAnsi"/>
          <w:i/>
          <w:color w:val="000000" w:themeColor="text1"/>
          <w:sz w:val="22"/>
          <w:szCs w:val="22"/>
        </w:rPr>
        <w:t>orestry</w:t>
      </w:r>
      <w:r>
        <w:rPr>
          <w:rFonts w:asciiTheme="minorHAnsi" w:hAnsiTheme="minorHAnsi"/>
          <w:i/>
          <w:color w:val="000000" w:themeColor="text1"/>
          <w:sz w:val="22"/>
          <w:szCs w:val="22"/>
        </w:rPr>
        <w:t xml:space="preserve"> </w:t>
      </w:r>
      <w:r>
        <w:rPr>
          <w:rFonts w:asciiTheme="minorHAnsi" w:hAnsiTheme="minorHAnsi"/>
          <w:color w:val="000000" w:themeColor="text1"/>
          <w:sz w:val="22"/>
          <w:szCs w:val="22"/>
        </w:rPr>
        <w:t>was considered</w:t>
      </w:r>
      <w:r w:rsidR="00C04979">
        <w:rPr>
          <w:rFonts w:asciiTheme="minorHAnsi" w:hAnsiTheme="minorHAnsi"/>
          <w:i/>
          <w:color w:val="000000" w:themeColor="text1"/>
          <w:sz w:val="22"/>
          <w:szCs w:val="22"/>
        </w:rPr>
        <w:t xml:space="preserve">. </w:t>
      </w:r>
      <w:r w:rsidR="008A274A" w:rsidRPr="003B7AD1">
        <w:rPr>
          <w:rFonts w:asciiTheme="minorHAnsi" w:hAnsiTheme="minorHAnsi"/>
          <w:color w:val="000000" w:themeColor="text1"/>
          <w:sz w:val="22"/>
          <w:szCs w:val="22"/>
        </w:rPr>
        <w:t xml:space="preserve"> </w:t>
      </w:r>
      <w:r>
        <w:rPr>
          <w:rFonts w:asciiTheme="minorHAnsi" w:hAnsiTheme="minorHAnsi"/>
          <w:color w:val="000000" w:themeColor="text1"/>
          <w:sz w:val="22"/>
          <w:szCs w:val="22"/>
        </w:rPr>
        <w:t>Under the sector averaging allocation regime t</w:t>
      </w:r>
      <w:r w:rsidR="006020C1" w:rsidRPr="003B7AD1">
        <w:rPr>
          <w:rFonts w:asciiTheme="minorHAnsi" w:hAnsiTheme="minorHAnsi"/>
          <w:color w:val="000000" w:themeColor="text1"/>
          <w:sz w:val="22"/>
          <w:szCs w:val="22"/>
        </w:rPr>
        <w:t>h</w:t>
      </w:r>
      <w:r w:rsidR="00C04979">
        <w:rPr>
          <w:rFonts w:asciiTheme="minorHAnsi" w:hAnsiTheme="minorHAnsi"/>
          <w:color w:val="000000" w:themeColor="text1"/>
          <w:sz w:val="22"/>
          <w:szCs w:val="22"/>
        </w:rPr>
        <w:t xml:space="preserve">is </w:t>
      </w:r>
      <w:r w:rsidR="001D227D">
        <w:rPr>
          <w:rFonts w:asciiTheme="minorHAnsi" w:hAnsiTheme="minorHAnsi"/>
          <w:color w:val="000000" w:themeColor="text1"/>
          <w:sz w:val="22"/>
          <w:szCs w:val="22"/>
        </w:rPr>
        <w:t xml:space="preserve">land use </w:t>
      </w:r>
      <w:r w:rsidR="00C04979">
        <w:rPr>
          <w:rFonts w:asciiTheme="minorHAnsi" w:hAnsiTheme="minorHAnsi"/>
          <w:color w:val="000000" w:themeColor="text1"/>
          <w:sz w:val="22"/>
          <w:szCs w:val="22"/>
        </w:rPr>
        <w:t>has</w:t>
      </w:r>
      <w:r w:rsidR="008A274A" w:rsidRPr="003B7AD1">
        <w:rPr>
          <w:rFonts w:asciiTheme="minorHAnsi" w:hAnsiTheme="minorHAnsi"/>
          <w:color w:val="000000" w:themeColor="text1"/>
          <w:sz w:val="22"/>
          <w:szCs w:val="22"/>
        </w:rPr>
        <w:t xml:space="preserve"> a very low emission profile</w:t>
      </w:r>
      <w:r w:rsidR="00570B56" w:rsidRPr="003B7AD1">
        <w:rPr>
          <w:rFonts w:asciiTheme="minorHAnsi" w:hAnsiTheme="minorHAnsi"/>
          <w:color w:val="000000" w:themeColor="text1"/>
          <w:sz w:val="22"/>
          <w:szCs w:val="22"/>
        </w:rPr>
        <w:t xml:space="preserve"> </w:t>
      </w:r>
      <w:r w:rsidR="001D227D">
        <w:rPr>
          <w:rFonts w:asciiTheme="minorHAnsi" w:hAnsiTheme="minorHAnsi"/>
          <w:color w:val="000000" w:themeColor="text1"/>
          <w:sz w:val="22"/>
          <w:szCs w:val="22"/>
        </w:rPr>
        <w:t xml:space="preserve">which the </w:t>
      </w:r>
      <w:r w:rsidR="00C04979">
        <w:rPr>
          <w:rFonts w:asciiTheme="minorHAnsi" w:hAnsiTheme="minorHAnsi"/>
          <w:color w:val="000000" w:themeColor="text1"/>
          <w:sz w:val="22"/>
          <w:szCs w:val="22"/>
        </w:rPr>
        <w:t>sector average</w:t>
      </w:r>
      <w:r w:rsidR="00570B56" w:rsidRPr="003B7AD1">
        <w:rPr>
          <w:rFonts w:asciiTheme="minorHAnsi" w:hAnsiTheme="minorHAnsi"/>
          <w:color w:val="000000" w:themeColor="text1"/>
          <w:sz w:val="22"/>
          <w:szCs w:val="22"/>
        </w:rPr>
        <w:t xml:space="preserve"> allocation regime </w:t>
      </w:r>
      <w:r w:rsidR="001D227D">
        <w:rPr>
          <w:rFonts w:asciiTheme="minorHAnsi" w:hAnsiTheme="minorHAnsi"/>
          <w:color w:val="000000" w:themeColor="text1"/>
          <w:sz w:val="22"/>
          <w:szCs w:val="22"/>
        </w:rPr>
        <w:t xml:space="preserve">would mean it was </w:t>
      </w:r>
      <w:r w:rsidR="00570B56" w:rsidRPr="003B7AD1">
        <w:rPr>
          <w:rFonts w:asciiTheme="minorHAnsi" w:hAnsiTheme="minorHAnsi"/>
          <w:color w:val="000000" w:themeColor="text1"/>
          <w:sz w:val="22"/>
          <w:szCs w:val="22"/>
        </w:rPr>
        <w:t>constrain</w:t>
      </w:r>
      <w:r w:rsidR="001D227D">
        <w:rPr>
          <w:rFonts w:asciiTheme="minorHAnsi" w:hAnsiTheme="minorHAnsi"/>
          <w:color w:val="000000" w:themeColor="text1"/>
          <w:sz w:val="22"/>
          <w:szCs w:val="22"/>
        </w:rPr>
        <w:t>ed</w:t>
      </w:r>
      <w:r w:rsidR="00C04979">
        <w:rPr>
          <w:rFonts w:asciiTheme="minorHAnsi" w:hAnsiTheme="minorHAnsi"/>
          <w:color w:val="000000" w:themeColor="text1"/>
          <w:sz w:val="22"/>
          <w:szCs w:val="22"/>
        </w:rPr>
        <w:t xml:space="preserve"> </w:t>
      </w:r>
      <w:r w:rsidR="00570B56" w:rsidRPr="003B7AD1">
        <w:rPr>
          <w:rFonts w:asciiTheme="minorHAnsi" w:hAnsiTheme="minorHAnsi"/>
          <w:color w:val="000000" w:themeColor="text1"/>
          <w:sz w:val="22"/>
          <w:szCs w:val="22"/>
        </w:rPr>
        <w:t>to that use alone</w:t>
      </w:r>
      <w:r w:rsidR="008A274A" w:rsidRPr="003B7AD1">
        <w:rPr>
          <w:rFonts w:asciiTheme="minorHAnsi" w:hAnsiTheme="minorHAnsi"/>
          <w:color w:val="000000" w:themeColor="text1"/>
          <w:sz w:val="22"/>
          <w:szCs w:val="22"/>
        </w:rPr>
        <w:t xml:space="preserve">.  The report </w:t>
      </w:r>
      <w:r w:rsidR="00C04979">
        <w:rPr>
          <w:rFonts w:asciiTheme="minorHAnsi" w:hAnsiTheme="minorHAnsi"/>
          <w:color w:val="000000" w:themeColor="text1"/>
          <w:sz w:val="22"/>
          <w:szCs w:val="22"/>
        </w:rPr>
        <w:t xml:space="preserve">explanation for </w:t>
      </w:r>
      <w:r w:rsidR="00C04979" w:rsidRPr="00787CBE">
        <w:rPr>
          <w:rFonts w:asciiTheme="minorHAnsi" w:hAnsiTheme="minorHAnsi"/>
          <w:color w:val="000000" w:themeColor="text1"/>
          <w:sz w:val="22"/>
          <w:szCs w:val="22"/>
        </w:rPr>
        <w:t>rejecting it says i</w:t>
      </w:r>
      <w:r w:rsidR="008A274A" w:rsidRPr="00787CBE">
        <w:rPr>
          <w:rFonts w:asciiTheme="minorHAnsi" w:hAnsiTheme="minorHAnsi"/>
          <w:color w:val="000000" w:themeColor="text1"/>
          <w:sz w:val="22"/>
          <w:szCs w:val="22"/>
        </w:rPr>
        <w:t xml:space="preserve">t would </w:t>
      </w:r>
      <w:r w:rsidR="006020C1" w:rsidRPr="00787CBE">
        <w:rPr>
          <w:rFonts w:asciiTheme="minorHAnsi" w:hAnsiTheme="minorHAnsi"/>
          <w:color w:val="000000" w:themeColor="text1"/>
          <w:sz w:val="22"/>
          <w:szCs w:val="22"/>
        </w:rPr>
        <w:t>“</w:t>
      </w:r>
      <w:r w:rsidR="008A274A" w:rsidRPr="00787CBE">
        <w:rPr>
          <w:rFonts w:asciiTheme="minorHAnsi" w:hAnsiTheme="minorHAnsi"/>
          <w:i/>
          <w:color w:val="000000" w:themeColor="text1"/>
          <w:sz w:val="22"/>
          <w:szCs w:val="22"/>
        </w:rPr>
        <w:t>provide a policy that with a focus on a person/s, rather than a land use activity as required by the RMA</w:t>
      </w:r>
      <w:r w:rsidR="006020C1" w:rsidRPr="00787CBE">
        <w:rPr>
          <w:rFonts w:asciiTheme="minorHAnsi" w:hAnsiTheme="minorHAnsi"/>
          <w:color w:val="000000" w:themeColor="text1"/>
          <w:sz w:val="22"/>
          <w:szCs w:val="22"/>
        </w:rPr>
        <w:t>”</w:t>
      </w:r>
      <w:r w:rsidR="008A274A" w:rsidRPr="00787CBE">
        <w:rPr>
          <w:rFonts w:asciiTheme="minorHAnsi" w:hAnsiTheme="minorHAnsi"/>
          <w:color w:val="000000" w:themeColor="text1"/>
          <w:sz w:val="22"/>
          <w:szCs w:val="22"/>
        </w:rPr>
        <w:t xml:space="preserve">.   </w:t>
      </w:r>
      <w:r w:rsidR="00D94B0C" w:rsidRPr="00787CBE">
        <w:rPr>
          <w:rFonts w:asciiTheme="minorHAnsi" w:hAnsiTheme="minorHAnsi"/>
          <w:color w:val="000000" w:themeColor="text1"/>
          <w:sz w:val="22"/>
          <w:szCs w:val="22"/>
        </w:rPr>
        <w:t>It</w:t>
      </w:r>
      <w:r w:rsidR="001D227D" w:rsidRPr="00787CBE">
        <w:rPr>
          <w:rFonts w:asciiTheme="minorHAnsi" w:hAnsiTheme="minorHAnsi"/>
          <w:color w:val="000000" w:themeColor="text1"/>
          <w:sz w:val="22"/>
          <w:szCs w:val="22"/>
        </w:rPr>
        <w:t xml:space="preserve"> is hard to follow this reasoning.  Forestry is </w:t>
      </w:r>
      <w:r w:rsidR="006020C1" w:rsidRPr="00787CBE">
        <w:rPr>
          <w:rFonts w:asciiTheme="minorHAnsi" w:hAnsiTheme="minorHAnsi"/>
          <w:color w:val="000000" w:themeColor="text1"/>
          <w:sz w:val="22"/>
          <w:szCs w:val="22"/>
        </w:rPr>
        <w:t xml:space="preserve">a land use </w:t>
      </w:r>
      <w:r w:rsidR="008A274A" w:rsidRPr="00787CBE">
        <w:rPr>
          <w:rFonts w:asciiTheme="minorHAnsi" w:hAnsiTheme="minorHAnsi"/>
          <w:color w:val="000000" w:themeColor="text1"/>
          <w:sz w:val="22"/>
          <w:szCs w:val="22"/>
        </w:rPr>
        <w:t xml:space="preserve">activity.  The existing policy provides for </w:t>
      </w:r>
      <w:r w:rsidR="006020C1" w:rsidRPr="00787CBE">
        <w:rPr>
          <w:rFonts w:asciiTheme="minorHAnsi" w:hAnsiTheme="minorHAnsi"/>
          <w:color w:val="000000" w:themeColor="text1"/>
          <w:sz w:val="22"/>
          <w:szCs w:val="22"/>
        </w:rPr>
        <w:t xml:space="preserve">other </w:t>
      </w:r>
      <w:r w:rsidR="008A274A" w:rsidRPr="00787CBE">
        <w:rPr>
          <w:rFonts w:asciiTheme="minorHAnsi" w:hAnsiTheme="minorHAnsi"/>
          <w:color w:val="000000" w:themeColor="text1"/>
          <w:sz w:val="22"/>
          <w:szCs w:val="22"/>
        </w:rPr>
        <w:t>land use activit</w:t>
      </w:r>
      <w:r w:rsidR="001D227D" w:rsidRPr="00787CBE">
        <w:rPr>
          <w:rFonts w:asciiTheme="minorHAnsi" w:hAnsiTheme="minorHAnsi"/>
          <w:color w:val="000000" w:themeColor="text1"/>
          <w:sz w:val="22"/>
          <w:szCs w:val="22"/>
        </w:rPr>
        <w:t>ies</w:t>
      </w:r>
      <w:r w:rsidR="00570B56" w:rsidRPr="00787CBE">
        <w:rPr>
          <w:rFonts w:asciiTheme="minorHAnsi" w:hAnsiTheme="minorHAnsi"/>
          <w:color w:val="000000" w:themeColor="text1"/>
          <w:sz w:val="22"/>
          <w:szCs w:val="22"/>
        </w:rPr>
        <w:t xml:space="preserve"> to have flexibility</w:t>
      </w:r>
      <w:r w:rsidR="00C04979" w:rsidRPr="00787CBE">
        <w:rPr>
          <w:rFonts w:asciiTheme="minorHAnsi" w:hAnsiTheme="minorHAnsi"/>
          <w:color w:val="000000" w:themeColor="text1"/>
          <w:sz w:val="22"/>
          <w:szCs w:val="22"/>
        </w:rPr>
        <w:t xml:space="preserve">.  </w:t>
      </w:r>
      <w:r w:rsidR="001D227D" w:rsidRPr="00787CBE">
        <w:rPr>
          <w:rFonts w:asciiTheme="minorHAnsi" w:hAnsiTheme="minorHAnsi"/>
          <w:color w:val="000000" w:themeColor="text1"/>
          <w:sz w:val="22"/>
          <w:szCs w:val="22"/>
        </w:rPr>
        <w:t>S</w:t>
      </w:r>
      <w:r w:rsidR="00C04979" w:rsidRPr="00787CBE">
        <w:rPr>
          <w:rFonts w:asciiTheme="minorHAnsi" w:hAnsiTheme="minorHAnsi"/>
          <w:color w:val="000000" w:themeColor="text1"/>
          <w:sz w:val="22"/>
          <w:szCs w:val="22"/>
        </w:rPr>
        <w:t xml:space="preserve">ector averaging means that </w:t>
      </w:r>
      <w:r w:rsidR="00D94B0C" w:rsidRPr="00787CBE">
        <w:rPr>
          <w:rFonts w:asciiTheme="minorHAnsi" w:hAnsiTheme="minorHAnsi"/>
          <w:color w:val="000000" w:themeColor="text1"/>
          <w:sz w:val="22"/>
          <w:szCs w:val="22"/>
        </w:rPr>
        <w:lastRenderedPageBreak/>
        <w:t>overall f</w:t>
      </w:r>
      <w:r w:rsidR="00570B56" w:rsidRPr="00787CBE">
        <w:rPr>
          <w:rFonts w:asciiTheme="minorHAnsi" w:hAnsiTheme="minorHAnsi"/>
          <w:color w:val="000000" w:themeColor="text1"/>
          <w:sz w:val="22"/>
          <w:szCs w:val="22"/>
        </w:rPr>
        <w:t xml:space="preserve">lexibility </w:t>
      </w:r>
      <w:r w:rsidR="003E3752" w:rsidRPr="00787CBE">
        <w:rPr>
          <w:rFonts w:asciiTheme="minorHAnsi" w:hAnsiTheme="minorHAnsi"/>
          <w:color w:val="000000" w:themeColor="text1"/>
          <w:sz w:val="22"/>
          <w:szCs w:val="22"/>
        </w:rPr>
        <w:t xml:space="preserve">in the catchment </w:t>
      </w:r>
      <w:r w:rsidR="00570B56" w:rsidRPr="00787CBE">
        <w:rPr>
          <w:rFonts w:asciiTheme="minorHAnsi" w:hAnsiTheme="minorHAnsi"/>
          <w:color w:val="000000" w:themeColor="text1"/>
          <w:sz w:val="22"/>
          <w:szCs w:val="22"/>
        </w:rPr>
        <w:t>is lost</w:t>
      </w:r>
      <w:r w:rsidR="001D227D" w:rsidRPr="00787CBE">
        <w:rPr>
          <w:rFonts w:asciiTheme="minorHAnsi" w:hAnsiTheme="minorHAnsi"/>
          <w:color w:val="000000" w:themeColor="text1"/>
          <w:sz w:val="22"/>
          <w:szCs w:val="22"/>
        </w:rPr>
        <w:t>, because</w:t>
      </w:r>
      <w:r w:rsidR="00C04979" w:rsidRPr="00787CBE">
        <w:rPr>
          <w:rFonts w:asciiTheme="minorHAnsi" w:hAnsiTheme="minorHAnsi"/>
          <w:color w:val="000000" w:themeColor="text1"/>
          <w:sz w:val="22"/>
          <w:szCs w:val="22"/>
        </w:rPr>
        <w:t xml:space="preserve"> sector averaging lo</w:t>
      </w:r>
      <w:r w:rsidR="00570B56" w:rsidRPr="00787CBE">
        <w:rPr>
          <w:rFonts w:asciiTheme="minorHAnsi" w:hAnsiTheme="minorHAnsi"/>
          <w:color w:val="000000" w:themeColor="text1"/>
          <w:sz w:val="22"/>
          <w:szCs w:val="22"/>
        </w:rPr>
        <w:t xml:space="preserve">cks land use into historic land use.  </w:t>
      </w:r>
      <w:r w:rsidR="00C04979" w:rsidRPr="00787CBE">
        <w:rPr>
          <w:rFonts w:asciiTheme="minorHAnsi" w:hAnsiTheme="minorHAnsi"/>
          <w:color w:val="000000" w:themeColor="text1"/>
          <w:sz w:val="22"/>
          <w:szCs w:val="22"/>
        </w:rPr>
        <w:t xml:space="preserve">Including this </w:t>
      </w:r>
      <w:r w:rsidR="00D94B0C" w:rsidRPr="00787CBE">
        <w:rPr>
          <w:rFonts w:asciiTheme="minorHAnsi" w:hAnsiTheme="minorHAnsi"/>
          <w:color w:val="000000" w:themeColor="text1"/>
          <w:sz w:val="22"/>
          <w:szCs w:val="22"/>
        </w:rPr>
        <w:t>option would require reallocation of load</w:t>
      </w:r>
      <w:r w:rsidR="003E3752" w:rsidRPr="00787CBE">
        <w:rPr>
          <w:rFonts w:asciiTheme="minorHAnsi" w:hAnsiTheme="minorHAnsi"/>
          <w:color w:val="000000" w:themeColor="text1"/>
          <w:sz w:val="22"/>
          <w:szCs w:val="22"/>
        </w:rPr>
        <w:t>,</w:t>
      </w:r>
      <w:r w:rsidR="00D94B0C" w:rsidRPr="00787CBE">
        <w:rPr>
          <w:rFonts w:asciiTheme="minorHAnsi" w:hAnsiTheme="minorHAnsi"/>
          <w:color w:val="000000" w:themeColor="text1"/>
          <w:sz w:val="22"/>
          <w:szCs w:val="22"/>
        </w:rPr>
        <w:t xml:space="preserve"> and the quantum of reallocation would </w:t>
      </w:r>
      <w:r w:rsidR="00C04979" w:rsidRPr="00787CBE">
        <w:rPr>
          <w:rFonts w:asciiTheme="minorHAnsi" w:hAnsiTheme="minorHAnsi"/>
          <w:color w:val="000000" w:themeColor="text1"/>
          <w:sz w:val="22"/>
          <w:szCs w:val="22"/>
        </w:rPr>
        <w:t>be unpalatable for high-leaching pastoral activity</w:t>
      </w:r>
      <w:r w:rsidR="008A274A" w:rsidRPr="00787CBE">
        <w:rPr>
          <w:rFonts w:asciiTheme="minorHAnsi" w:hAnsiTheme="minorHAnsi"/>
          <w:color w:val="000000" w:themeColor="text1"/>
          <w:sz w:val="22"/>
          <w:szCs w:val="22"/>
        </w:rPr>
        <w:t>.</w:t>
      </w:r>
      <w:r w:rsidR="003E3752" w:rsidRPr="00787CBE">
        <w:rPr>
          <w:rFonts w:asciiTheme="minorHAnsi" w:hAnsiTheme="minorHAnsi"/>
          <w:color w:val="000000" w:themeColor="text1"/>
          <w:sz w:val="22"/>
          <w:szCs w:val="22"/>
        </w:rPr>
        <w:t xml:space="preserve">  But that is </w:t>
      </w:r>
      <w:r w:rsidR="001D227D" w:rsidRPr="00787CBE">
        <w:rPr>
          <w:rFonts w:asciiTheme="minorHAnsi" w:hAnsiTheme="minorHAnsi"/>
          <w:color w:val="000000" w:themeColor="text1"/>
          <w:sz w:val="22"/>
          <w:szCs w:val="22"/>
        </w:rPr>
        <w:t>in</w:t>
      </w:r>
      <w:r w:rsidR="003E3752" w:rsidRPr="00787CBE">
        <w:rPr>
          <w:rFonts w:asciiTheme="minorHAnsi" w:hAnsiTheme="minorHAnsi"/>
          <w:color w:val="000000" w:themeColor="text1"/>
          <w:sz w:val="22"/>
          <w:szCs w:val="22"/>
        </w:rPr>
        <w:t xml:space="preserve">sufficient reason to rule it out if the nett benefit of the option </w:t>
      </w:r>
      <w:r w:rsidR="001D227D" w:rsidRPr="00787CBE">
        <w:rPr>
          <w:rFonts w:asciiTheme="minorHAnsi" w:hAnsiTheme="minorHAnsi"/>
          <w:color w:val="000000" w:themeColor="text1"/>
          <w:sz w:val="22"/>
          <w:szCs w:val="22"/>
        </w:rPr>
        <w:t xml:space="preserve">to the catchment </w:t>
      </w:r>
      <w:r w:rsidR="003E3752" w:rsidRPr="00787CBE">
        <w:rPr>
          <w:rFonts w:asciiTheme="minorHAnsi" w:hAnsiTheme="minorHAnsi"/>
          <w:color w:val="000000" w:themeColor="text1"/>
          <w:sz w:val="22"/>
          <w:szCs w:val="22"/>
        </w:rPr>
        <w:t>is greater.</w:t>
      </w:r>
    </w:p>
    <w:p w:rsidR="00570B56" w:rsidRPr="00787CBE" w:rsidRDefault="00570B56" w:rsidP="008A274A">
      <w:pPr>
        <w:pStyle w:val="Default"/>
        <w:rPr>
          <w:rFonts w:asciiTheme="minorHAnsi" w:hAnsiTheme="minorHAnsi"/>
          <w:color w:val="000000" w:themeColor="text1"/>
          <w:sz w:val="22"/>
          <w:szCs w:val="22"/>
        </w:rPr>
      </w:pPr>
    </w:p>
    <w:p w:rsidR="00531300" w:rsidRPr="0024408F" w:rsidRDefault="00570B56" w:rsidP="00086A18">
      <w:pPr>
        <w:pStyle w:val="SP"/>
        <w:numPr>
          <w:ilvl w:val="0"/>
          <w:numId w:val="28"/>
        </w:numPr>
        <w:autoSpaceDE w:val="0"/>
        <w:autoSpaceDN w:val="0"/>
        <w:adjustRightInd w:val="0"/>
        <w:spacing w:after="0" w:line="240" w:lineRule="auto"/>
        <w:ind w:left="501"/>
        <w:jc w:val="left"/>
        <w:rPr>
          <w:rFonts w:asciiTheme="minorHAnsi" w:hAnsiTheme="minorHAnsi"/>
          <w:color w:val="000000" w:themeColor="text1"/>
          <w:sz w:val="22"/>
          <w:szCs w:val="22"/>
        </w:rPr>
      </w:pPr>
      <w:r w:rsidRPr="0024408F">
        <w:rPr>
          <w:rFonts w:asciiTheme="minorHAnsi" w:hAnsiTheme="minorHAnsi"/>
          <w:color w:val="000000" w:themeColor="text1"/>
          <w:sz w:val="22"/>
          <w:szCs w:val="22"/>
        </w:rPr>
        <w:t xml:space="preserve">Council also </w:t>
      </w:r>
      <w:r w:rsidR="003B7AD1" w:rsidRPr="0024408F">
        <w:rPr>
          <w:rFonts w:asciiTheme="minorHAnsi" w:hAnsiTheme="minorHAnsi"/>
          <w:color w:val="000000" w:themeColor="text1"/>
          <w:sz w:val="22"/>
          <w:szCs w:val="22"/>
        </w:rPr>
        <w:t>considered a</w:t>
      </w:r>
      <w:r w:rsidRPr="0024408F">
        <w:rPr>
          <w:rFonts w:asciiTheme="minorHAnsi" w:hAnsiTheme="minorHAnsi"/>
          <w:color w:val="000000" w:themeColor="text1"/>
          <w:sz w:val="22"/>
          <w:szCs w:val="22"/>
        </w:rPr>
        <w:t xml:space="preserve"> </w:t>
      </w:r>
      <w:r w:rsidR="003B7AD1" w:rsidRPr="0024408F">
        <w:rPr>
          <w:rFonts w:asciiTheme="minorHAnsi" w:hAnsiTheme="minorHAnsi"/>
          <w:color w:val="000000" w:themeColor="text1"/>
          <w:sz w:val="22"/>
          <w:szCs w:val="22"/>
        </w:rPr>
        <w:t>r</w:t>
      </w:r>
      <w:r w:rsidR="008A274A" w:rsidRPr="0024408F">
        <w:rPr>
          <w:rFonts w:asciiTheme="minorHAnsi" w:hAnsiTheme="minorHAnsi"/>
          <w:color w:val="000000" w:themeColor="text1"/>
          <w:sz w:val="22"/>
          <w:szCs w:val="22"/>
        </w:rPr>
        <w:t xml:space="preserve">estricted discretionary activity </w:t>
      </w:r>
      <w:r w:rsidRPr="0024408F">
        <w:rPr>
          <w:rFonts w:asciiTheme="minorHAnsi" w:hAnsiTheme="minorHAnsi"/>
          <w:color w:val="000000" w:themeColor="text1"/>
          <w:sz w:val="22"/>
          <w:szCs w:val="22"/>
        </w:rPr>
        <w:t xml:space="preserve">status </w:t>
      </w:r>
      <w:r w:rsidR="008A274A" w:rsidRPr="0024408F">
        <w:rPr>
          <w:rFonts w:asciiTheme="minorHAnsi" w:hAnsiTheme="minorHAnsi"/>
          <w:color w:val="000000" w:themeColor="text1"/>
          <w:sz w:val="22"/>
          <w:szCs w:val="22"/>
        </w:rPr>
        <w:t xml:space="preserve">allowing plantation forestry to </w:t>
      </w:r>
      <w:r w:rsidR="00C04979" w:rsidRPr="0024408F">
        <w:rPr>
          <w:rFonts w:asciiTheme="minorHAnsi" w:hAnsiTheme="minorHAnsi"/>
          <w:color w:val="000000" w:themeColor="text1"/>
          <w:sz w:val="22"/>
          <w:szCs w:val="22"/>
        </w:rPr>
        <w:t xml:space="preserve">change to other uses, </w:t>
      </w:r>
      <w:r w:rsidR="008A274A" w:rsidRPr="0024408F">
        <w:rPr>
          <w:rFonts w:asciiTheme="minorHAnsi" w:hAnsiTheme="minorHAnsi"/>
          <w:color w:val="000000" w:themeColor="text1"/>
          <w:sz w:val="22"/>
          <w:szCs w:val="22"/>
        </w:rPr>
        <w:t xml:space="preserve">in accordance with land use capability. </w:t>
      </w:r>
      <w:r w:rsidR="001D227D" w:rsidRPr="0024408F">
        <w:rPr>
          <w:rFonts w:asciiTheme="minorHAnsi" w:hAnsiTheme="minorHAnsi"/>
          <w:color w:val="000000" w:themeColor="text1"/>
          <w:sz w:val="22"/>
          <w:szCs w:val="22"/>
        </w:rPr>
        <w:t xml:space="preserve"> T</w:t>
      </w:r>
      <w:r w:rsidR="00063734" w:rsidRPr="0024408F">
        <w:rPr>
          <w:rFonts w:asciiTheme="minorHAnsi" w:hAnsiTheme="minorHAnsi"/>
          <w:color w:val="000000" w:themeColor="text1"/>
          <w:sz w:val="22"/>
          <w:szCs w:val="22"/>
        </w:rPr>
        <w:t xml:space="preserve">his </w:t>
      </w:r>
      <w:r w:rsidR="001D227D" w:rsidRPr="0024408F">
        <w:rPr>
          <w:rFonts w:asciiTheme="minorHAnsi" w:hAnsiTheme="minorHAnsi"/>
          <w:color w:val="000000" w:themeColor="text1"/>
          <w:sz w:val="22"/>
          <w:szCs w:val="22"/>
        </w:rPr>
        <w:t xml:space="preserve">approximates </w:t>
      </w:r>
      <w:r w:rsidR="00063734" w:rsidRPr="0024408F">
        <w:rPr>
          <w:rFonts w:asciiTheme="minorHAnsi" w:hAnsiTheme="minorHAnsi"/>
          <w:color w:val="000000" w:themeColor="text1"/>
          <w:sz w:val="22"/>
          <w:szCs w:val="22"/>
        </w:rPr>
        <w:t>a natural capital approach</w:t>
      </w:r>
      <w:r w:rsidR="00597A93" w:rsidRPr="0024408F">
        <w:rPr>
          <w:rFonts w:asciiTheme="minorHAnsi" w:hAnsiTheme="minorHAnsi"/>
          <w:color w:val="000000" w:themeColor="text1"/>
          <w:sz w:val="22"/>
          <w:szCs w:val="22"/>
        </w:rPr>
        <w:t xml:space="preserve">.  </w:t>
      </w:r>
      <w:r w:rsidRPr="0024408F">
        <w:rPr>
          <w:rFonts w:asciiTheme="minorHAnsi" w:hAnsiTheme="minorHAnsi"/>
          <w:color w:val="000000" w:themeColor="text1"/>
          <w:sz w:val="22"/>
          <w:szCs w:val="22"/>
        </w:rPr>
        <w:t xml:space="preserve">The </w:t>
      </w:r>
      <w:r w:rsidR="003B7AD1" w:rsidRPr="0024408F">
        <w:rPr>
          <w:rFonts w:asciiTheme="minorHAnsi" w:hAnsiTheme="minorHAnsi"/>
          <w:color w:val="000000" w:themeColor="text1"/>
          <w:sz w:val="22"/>
          <w:szCs w:val="22"/>
        </w:rPr>
        <w:t>report</w:t>
      </w:r>
      <w:r w:rsidRPr="0024408F">
        <w:rPr>
          <w:rFonts w:asciiTheme="minorHAnsi" w:hAnsiTheme="minorHAnsi"/>
          <w:color w:val="000000" w:themeColor="text1"/>
          <w:sz w:val="22"/>
          <w:szCs w:val="22"/>
        </w:rPr>
        <w:t xml:space="preserve"> </w:t>
      </w:r>
      <w:r w:rsidR="001D227D" w:rsidRPr="0024408F">
        <w:rPr>
          <w:rFonts w:asciiTheme="minorHAnsi" w:hAnsiTheme="minorHAnsi"/>
          <w:color w:val="000000" w:themeColor="text1"/>
          <w:sz w:val="22"/>
          <w:szCs w:val="22"/>
        </w:rPr>
        <w:t xml:space="preserve">identifies that </w:t>
      </w:r>
      <w:r w:rsidR="00597A93" w:rsidRPr="0024408F">
        <w:rPr>
          <w:rFonts w:asciiTheme="minorHAnsi" w:hAnsiTheme="minorHAnsi"/>
          <w:color w:val="000000" w:themeColor="text1"/>
          <w:sz w:val="22"/>
          <w:szCs w:val="22"/>
        </w:rPr>
        <w:t>if the 2943ha of plantation forest on LUC class 1-4 w</w:t>
      </w:r>
      <w:r w:rsidR="00531300" w:rsidRPr="0024408F">
        <w:rPr>
          <w:rFonts w:asciiTheme="minorHAnsi" w:hAnsiTheme="minorHAnsi"/>
          <w:color w:val="000000" w:themeColor="text1"/>
          <w:sz w:val="22"/>
          <w:szCs w:val="22"/>
        </w:rPr>
        <w:t>ere</w:t>
      </w:r>
      <w:r w:rsidR="00597A93" w:rsidRPr="0024408F">
        <w:rPr>
          <w:rFonts w:asciiTheme="minorHAnsi" w:hAnsiTheme="minorHAnsi"/>
          <w:color w:val="000000" w:themeColor="text1"/>
          <w:sz w:val="22"/>
          <w:szCs w:val="22"/>
        </w:rPr>
        <w:t xml:space="preserve"> allocated 54.6 </w:t>
      </w:r>
      <w:proofErr w:type="spellStart"/>
      <w:r w:rsidR="00597A93" w:rsidRPr="0024408F">
        <w:rPr>
          <w:rFonts w:asciiTheme="minorHAnsi" w:hAnsiTheme="minorHAnsi"/>
          <w:color w:val="000000" w:themeColor="text1"/>
          <w:sz w:val="22"/>
          <w:szCs w:val="22"/>
        </w:rPr>
        <w:t>kgN</w:t>
      </w:r>
      <w:proofErr w:type="spellEnd"/>
      <w:r w:rsidR="00597A93" w:rsidRPr="0024408F">
        <w:rPr>
          <w:rFonts w:asciiTheme="minorHAnsi" w:hAnsiTheme="minorHAnsi"/>
          <w:color w:val="000000" w:themeColor="text1"/>
          <w:sz w:val="22"/>
          <w:szCs w:val="22"/>
        </w:rPr>
        <w:t>/</w:t>
      </w:r>
      <w:r w:rsidR="00531300" w:rsidRPr="0024408F">
        <w:rPr>
          <w:rFonts w:asciiTheme="minorHAnsi" w:hAnsiTheme="minorHAnsi"/>
          <w:color w:val="000000" w:themeColor="text1"/>
          <w:sz w:val="22"/>
          <w:szCs w:val="22"/>
        </w:rPr>
        <w:t xml:space="preserve"> </w:t>
      </w:r>
      <w:r w:rsidR="00597A93" w:rsidRPr="0024408F">
        <w:rPr>
          <w:rFonts w:asciiTheme="minorHAnsi" w:hAnsiTheme="minorHAnsi"/>
          <w:color w:val="000000" w:themeColor="text1"/>
          <w:sz w:val="22"/>
          <w:szCs w:val="22"/>
        </w:rPr>
        <w:t>ha/y</w:t>
      </w:r>
      <w:r w:rsidR="00531300" w:rsidRPr="0024408F">
        <w:rPr>
          <w:rFonts w:asciiTheme="minorHAnsi" w:hAnsiTheme="minorHAnsi"/>
          <w:color w:val="000000" w:themeColor="text1"/>
          <w:sz w:val="22"/>
          <w:szCs w:val="22"/>
        </w:rPr>
        <w:t>ea</w:t>
      </w:r>
      <w:r w:rsidR="00597A93" w:rsidRPr="0024408F">
        <w:rPr>
          <w:rFonts w:asciiTheme="minorHAnsi" w:hAnsiTheme="minorHAnsi"/>
          <w:color w:val="000000" w:themeColor="text1"/>
          <w:sz w:val="22"/>
          <w:szCs w:val="22"/>
        </w:rPr>
        <w:t>r</w:t>
      </w:r>
      <w:r w:rsidR="00597A93" w:rsidRPr="00787CBE">
        <w:rPr>
          <w:rStyle w:val="FootnoteReference"/>
          <w:rFonts w:asciiTheme="minorHAnsi" w:hAnsiTheme="minorHAnsi"/>
          <w:color w:val="000000" w:themeColor="text1"/>
          <w:sz w:val="22"/>
          <w:szCs w:val="22"/>
        </w:rPr>
        <w:footnoteReference w:id="7"/>
      </w:r>
      <w:r w:rsidR="00531300" w:rsidRPr="0024408F">
        <w:rPr>
          <w:rFonts w:asciiTheme="minorHAnsi" w:hAnsiTheme="minorHAnsi"/>
          <w:color w:val="000000" w:themeColor="text1"/>
          <w:sz w:val="22"/>
          <w:szCs w:val="22"/>
        </w:rPr>
        <w:t>, that</w:t>
      </w:r>
      <w:r w:rsidR="00597A93" w:rsidRPr="0024408F">
        <w:rPr>
          <w:rFonts w:asciiTheme="minorHAnsi" w:hAnsiTheme="minorHAnsi"/>
          <w:color w:val="000000" w:themeColor="text1"/>
          <w:sz w:val="22"/>
          <w:szCs w:val="22"/>
        </w:rPr>
        <w:t xml:space="preserve"> would re</w:t>
      </w:r>
      <w:r w:rsidR="00531300" w:rsidRPr="0024408F">
        <w:rPr>
          <w:rFonts w:asciiTheme="minorHAnsi" w:hAnsiTheme="minorHAnsi"/>
          <w:color w:val="000000" w:themeColor="text1"/>
          <w:sz w:val="22"/>
          <w:szCs w:val="22"/>
        </w:rPr>
        <w:t>quire</w:t>
      </w:r>
      <w:r w:rsidR="00597A93" w:rsidRPr="0024408F">
        <w:rPr>
          <w:rFonts w:asciiTheme="minorHAnsi" w:hAnsiTheme="minorHAnsi"/>
          <w:color w:val="000000" w:themeColor="text1"/>
          <w:sz w:val="22"/>
          <w:szCs w:val="22"/>
        </w:rPr>
        <w:t xml:space="preserve"> 153</w:t>
      </w:r>
      <w:r w:rsidR="00531300" w:rsidRPr="0024408F">
        <w:rPr>
          <w:rFonts w:asciiTheme="minorHAnsi" w:hAnsiTheme="minorHAnsi"/>
          <w:color w:val="000000" w:themeColor="text1"/>
          <w:sz w:val="22"/>
          <w:szCs w:val="22"/>
        </w:rPr>
        <w:t xml:space="preserve"> tonnes </w:t>
      </w:r>
      <w:r w:rsidR="00597A93" w:rsidRPr="0024408F">
        <w:rPr>
          <w:rFonts w:asciiTheme="minorHAnsi" w:hAnsiTheme="minorHAnsi"/>
          <w:color w:val="000000" w:themeColor="text1"/>
          <w:sz w:val="22"/>
          <w:szCs w:val="22"/>
        </w:rPr>
        <w:t>of nitrogen</w:t>
      </w:r>
      <w:r w:rsidR="00531300" w:rsidRPr="0024408F">
        <w:rPr>
          <w:rFonts w:asciiTheme="minorHAnsi" w:hAnsiTheme="minorHAnsi"/>
          <w:color w:val="000000" w:themeColor="text1"/>
          <w:sz w:val="22"/>
          <w:szCs w:val="22"/>
        </w:rPr>
        <w:t xml:space="preserve">, which is </w:t>
      </w:r>
      <w:r w:rsidR="00597A93" w:rsidRPr="0024408F">
        <w:rPr>
          <w:rFonts w:asciiTheme="minorHAnsi" w:hAnsiTheme="minorHAnsi"/>
          <w:color w:val="000000" w:themeColor="text1"/>
          <w:sz w:val="22"/>
          <w:szCs w:val="22"/>
        </w:rPr>
        <w:t>greater than the 140tN/y</w:t>
      </w:r>
      <w:r w:rsidR="00531300" w:rsidRPr="0024408F">
        <w:rPr>
          <w:rFonts w:asciiTheme="minorHAnsi" w:hAnsiTheme="minorHAnsi"/>
          <w:color w:val="000000" w:themeColor="text1"/>
          <w:sz w:val="22"/>
          <w:szCs w:val="22"/>
        </w:rPr>
        <w:t>ea</w:t>
      </w:r>
      <w:r w:rsidR="00597A93" w:rsidRPr="0024408F">
        <w:rPr>
          <w:rFonts w:asciiTheme="minorHAnsi" w:hAnsiTheme="minorHAnsi"/>
          <w:color w:val="000000" w:themeColor="text1"/>
          <w:sz w:val="22"/>
          <w:szCs w:val="22"/>
        </w:rPr>
        <w:t xml:space="preserve">r on-farm reduction </w:t>
      </w:r>
      <w:r w:rsidR="00531300" w:rsidRPr="0024408F">
        <w:rPr>
          <w:rFonts w:asciiTheme="minorHAnsi" w:hAnsiTheme="minorHAnsi"/>
          <w:color w:val="000000" w:themeColor="text1"/>
          <w:sz w:val="22"/>
          <w:szCs w:val="22"/>
        </w:rPr>
        <w:t xml:space="preserve">presently </w:t>
      </w:r>
      <w:r w:rsidR="00597A93" w:rsidRPr="0024408F">
        <w:rPr>
          <w:rFonts w:asciiTheme="minorHAnsi" w:hAnsiTheme="minorHAnsi"/>
          <w:color w:val="000000" w:themeColor="text1"/>
          <w:sz w:val="22"/>
          <w:szCs w:val="22"/>
        </w:rPr>
        <w:t xml:space="preserve">required by the rules.  </w:t>
      </w:r>
      <w:r w:rsidR="00531300" w:rsidRPr="0024408F">
        <w:rPr>
          <w:rFonts w:asciiTheme="minorHAnsi" w:hAnsiTheme="minorHAnsi"/>
          <w:color w:val="000000" w:themeColor="text1"/>
          <w:sz w:val="22"/>
          <w:szCs w:val="22"/>
        </w:rPr>
        <w:t>If a</w:t>
      </w:r>
      <w:r w:rsidR="00597A93" w:rsidRPr="0024408F">
        <w:rPr>
          <w:rFonts w:asciiTheme="minorHAnsi" w:hAnsiTheme="minorHAnsi"/>
          <w:color w:val="000000" w:themeColor="text1"/>
          <w:sz w:val="22"/>
          <w:szCs w:val="22"/>
        </w:rPr>
        <w:t xml:space="preserve">n allocation </w:t>
      </w:r>
      <w:r w:rsidR="00531300" w:rsidRPr="0024408F">
        <w:rPr>
          <w:rFonts w:asciiTheme="minorHAnsi" w:hAnsiTheme="minorHAnsi"/>
          <w:color w:val="000000" w:themeColor="text1"/>
          <w:sz w:val="22"/>
          <w:szCs w:val="22"/>
        </w:rPr>
        <w:t xml:space="preserve">was </w:t>
      </w:r>
      <w:r w:rsidR="00597A93" w:rsidRPr="0024408F">
        <w:rPr>
          <w:rFonts w:asciiTheme="minorHAnsi" w:hAnsiTheme="minorHAnsi"/>
          <w:color w:val="000000" w:themeColor="text1"/>
          <w:sz w:val="22"/>
          <w:szCs w:val="22"/>
        </w:rPr>
        <w:t xml:space="preserve">to the </w:t>
      </w:r>
      <w:proofErr w:type="spellStart"/>
      <w:r w:rsidR="00597A93" w:rsidRPr="0024408F">
        <w:rPr>
          <w:rFonts w:asciiTheme="minorHAnsi" w:hAnsiTheme="minorHAnsi"/>
          <w:color w:val="000000" w:themeColor="text1"/>
          <w:sz w:val="22"/>
          <w:szCs w:val="22"/>
        </w:rPr>
        <w:t>drystock</w:t>
      </w:r>
      <w:proofErr w:type="spellEnd"/>
      <w:r w:rsidR="00597A93" w:rsidRPr="0024408F">
        <w:rPr>
          <w:rFonts w:asciiTheme="minorHAnsi" w:hAnsiTheme="minorHAnsi"/>
          <w:color w:val="000000" w:themeColor="text1"/>
          <w:sz w:val="22"/>
          <w:szCs w:val="22"/>
        </w:rPr>
        <w:t xml:space="preserve"> </w:t>
      </w:r>
      <w:r w:rsidR="00531300" w:rsidRPr="0024408F">
        <w:rPr>
          <w:rFonts w:asciiTheme="minorHAnsi" w:hAnsiTheme="minorHAnsi"/>
          <w:color w:val="000000" w:themeColor="text1"/>
          <w:sz w:val="22"/>
          <w:szCs w:val="22"/>
        </w:rPr>
        <w:t xml:space="preserve">NDA </w:t>
      </w:r>
      <w:r w:rsidR="00597A93" w:rsidRPr="0024408F">
        <w:rPr>
          <w:rFonts w:asciiTheme="minorHAnsi" w:hAnsiTheme="minorHAnsi"/>
          <w:color w:val="000000" w:themeColor="text1"/>
          <w:sz w:val="22"/>
          <w:szCs w:val="22"/>
        </w:rPr>
        <w:t>of 25.6kgN/</w:t>
      </w:r>
      <w:r w:rsidR="00531300" w:rsidRPr="0024408F">
        <w:rPr>
          <w:rFonts w:asciiTheme="minorHAnsi" w:hAnsiTheme="minorHAnsi"/>
          <w:color w:val="000000" w:themeColor="text1"/>
          <w:sz w:val="22"/>
          <w:szCs w:val="22"/>
        </w:rPr>
        <w:t xml:space="preserve"> </w:t>
      </w:r>
      <w:r w:rsidR="00597A93" w:rsidRPr="0024408F">
        <w:rPr>
          <w:rFonts w:asciiTheme="minorHAnsi" w:hAnsiTheme="minorHAnsi"/>
          <w:color w:val="000000" w:themeColor="text1"/>
          <w:sz w:val="22"/>
          <w:szCs w:val="22"/>
        </w:rPr>
        <w:t>ha/y</w:t>
      </w:r>
      <w:r w:rsidR="00531300" w:rsidRPr="0024408F">
        <w:rPr>
          <w:rFonts w:asciiTheme="minorHAnsi" w:hAnsiTheme="minorHAnsi"/>
          <w:color w:val="000000" w:themeColor="text1"/>
          <w:sz w:val="22"/>
          <w:szCs w:val="22"/>
        </w:rPr>
        <w:t>ea</w:t>
      </w:r>
      <w:r w:rsidR="00597A93" w:rsidRPr="0024408F">
        <w:rPr>
          <w:rFonts w:asciiTheme="minorHAnsi" w:hAnsiTheme="minorHAnsi"/>
          <w:color w:val="000000" w:themeColor="text1"/>
          <w:sz w:val="22"/>
          <w:szCs w:val="22"/>
        </w:rPr>
        <w:t>r</w:t>
      </w:r>
      <w:r w:rsidR="00531300" w:rsidRPr="0024408F">
        <w:rPr>
          <w:rFonts w:asciiTheme="minorHAnsi" w:hAnsiTheme="minorHAnsi"/>
          <w:color w:val="000000" w:themeColor="text1"/>
          <w:sz w:val="22"/>
          <w:szCs w:val="22"/>
        </w:rPr>
        <w:t xml:space="preserve">, that </w:t>
      </w:r>
      <w:r w:rsidR="00597A93" w:rsidRPr="0024408F">
        <w:rPr>
          <w:rFonts w:asciiTheme="minorHAnsi" w:hAnsiTheme="minorHAnsi"/>
          <w:color w:val="000000" w:themeColor="text1"/>
          <w:sz w:val="22"/>
          <w:szCs w:val="22"/>
        </w:rPr>
        <w:t>would reallocate 68T of nitrogen</w:t>
      </w:r>
      <w:r w:rsidR="00531300" w:rsidRPr="0024408F">
        <w:rPr>
          <w:rFonts w:asciiTheme="minorHAnsi" w:hAnsiTheme="minorHAnsi"/>
          <w:color w:val="000000" w:themeColor="text1"/>
          <w:sz w:val="22"/>
          <w:szCs w:val="22"/>
        </w:rPr>
        <w:t>, or</w:t>
      </w:r>
      <w:r w:rsidR="00597A93" w:rsidRPr="0024408F">
        <w:rPr>
          <w:rFonts w:asciiTheme="minorHAnsi" w:hAnsiTheme="minorHAnsi"/>
          <w:color w:val="000000" w:themeColor="text1"/>
          <w:sz w:val="22"/>
          <w:szCs w:val="22"/>
        </w:rPr>
        <w:t xml:space="preserve"> 49% of the current target for on</w:t>
      </w:r>
      <w:r w:rsidR="00531300" w:rsidRPr="0024408F">
        <w:rPr>
          <w:rFonts w:asciiTheme="minorHAnsi" w:hAnsiTheme="minorHAnsi"/>
          <w:color w:val="000000" w:themeColor="text1"/>
          <w:sz w:val="22"/>
          <w:szCs w:val="22"/>
        </w:rPr>
        <w:t xml:space="preserve"> farm reductions</w:t>
      </w:r>
      <w:r w:rsidR="00597A93" w:rsidRPr="0024408F">
        <w:rPr>
          <w:rFonts w:asciiTheme="minorHAnsi" w:hAnsiTheme="minorHAnsi"/>
          <w:color w:val="000000" w:themeColor="text1"/>
          <w:sz w:val="22"/>
          <w:szCs w:val="22"/>
        </w:rPr>
        <w:t xml:space="preserve">. </w:t>
      </w:r>
      <w:r w:rsidR="00531300" w:rsidRPr="0024408F">
        <w:rPr>
          <w:rFonts w:asciiTheme="minorHAnsi" w:hAnsiTheme="minorHAnsi"/>
          <w:color w:val="000000" w:themeColor="text1"/>
          <w:sz w:val="22"/>
          <w:szCs w:val="22"/>
        </w:rPr>
        <w:t>The report describes the effect of such reallocation, but does not explain why this should not happen.  It leaves hanging what the effect of the present regime has been to various land users, by allocating the lion’s share to land use</w:t>
      </w:r>
      <w:r w:rsidR="00B819E5" w:rsidRPr="0024408F">
        <w:rPr>
          <w:rFonts w:asciiTheme="minorHAnsi" w:hAnsiTheme="minorHAnsi"/>
          <w:color w:val="000000" w:themeColor="text1"/>
          <w:sz w:val="22"/>
          <w:szCs w:val="22"/>
        </w:rPr>
        <w:t>s that</w:t>
      </w:r>
      <w:r w:rsidR="00531300" w:rsidRPr="0024408F">
        <w:rPr>
          <w:rFonts w:asciiTheme="minorHAnsi" w:hAnsiTheme="minorHAnsi"/>
          <w:color w:val="000000" w:themeColor="text1"/>
          <w:sz w:val="22"/>
          <w:szCs w:val="22"/>
        </w:rPr>
        <w:t xml:space="preserve"> in the last 25 or so years have </w:t>
      </w:r>
      <w:r w:rsidR="00B819E5" w:rsidRPr="0024408F">
        <w:rPr>
          <w:rFonts w:asciiTheme="minorHAnsi" w:hAnsiTheme="minorHAnsi"/>
          <w:color w:val="000000" w:themeColor="text1"/>
          <w:sz w:val="22"/>
          <w:szCs w:val="22"/>
        </w:rPr>
        <w:t xml:space="preserve">had </w:t>
      </w:r>
      <w:r w:rsidR="00531300" w:rsidRPr="0024408F">
        <w:rPr>
          <w:rFonts w:asciiTheme="minorHAnsi" w:hAnsiTheme="minorHAnsi"/>
          <w:color w:val="000000" w:themeColor="text1"/>
          <w:sz w:val="22"/>
          <w:szCs w:val="22"/>
        </w:rPr>
        <w:t xml:space="preserve">high nitrogen emissions. </w:t>
      </w:r>
      <w:r w:rsidR="00B819E5" w:rsidRPr="0024408F">
        <w:rPr>
          <w:rFonts w:asciiTheme="minorHAnsi" w:hAnsiTheme="minorHAnsi"/>
          <w:color w:val="000000" w:themeColor="text1"/>
          <w:sz w:val="22"/>
          <w:szCs w:val="22"/>
        </w:rPr>
        <w:t xml:space="preserve"> The </w:t>
      </w:r>
      <w:r w:rsidR="00531300" w:rsidRPr="0024408F">
        <w:rPr>
          <w:rFonts w:asciiTheme="minorHAnsi" w:hAnsiTheme="minorHAnsi"/>
          <w:color w:val="000000" w:themeColor="text1"/>
          <w:sz w:val="22"/>
          <w:szCs w:val="22"/>
        </w:rPr>
        <w:t>winners and losers of the proposed policy</w:t>
      </w:r>
      <w:r w:rsidR="00B819E5" w:rsidRPr="0024408F">
        <w:rPr>
          <w:rFonts w:asciiTheme="minorHAnsi" w:hAnsiTheme="minorHAnsi"/>
          <w:color w:val="000000" w:themeColor="text1"/>
          <w:sz w:val="22"/>
          <w:szCs w:val="22"/>
        </w:rPr>
        <w:t xml:space="preserve"> become clearer</w:t>
      </w:r>
      <w:r w:rsidR="00531300" w:rsidRPr="0024408F">
        <w:rPr>
          <w:rFonts w:asciiTheme="minorHAnsi" w:hAnsiTheme="minorHAnsi"/>
          <w:color w:val="000000" w:themeColor="text1"/>
          <w:sz w:val="22"/>
          <w:szCs w:val="22"/>
        </w:rPr>
        <w:t>.</w:t>
      </w:r>
    </w:p>
    <w:p w:rsidR="00531300" w:rsidRPr="00787CBE" w:rsidRDefault="00531300" w:rsidP="00531300">
      <w:pPr>
        <w:pStyle w:val="SP"/>
        <w:autoSpaceDE w:val="0"/>
        <w:autoSpaceDN w:val="0"/>
        <w:adjustRightInd w:val="0"/>
        <w:spacing w:after="0" w:line="240" w:lineRule="auto"/>
        <w:ind w:left="501" w:firstLine="0"/>
        <w:jc w:val="left"/>
        <w:rPr>
          <w:rFonts w:asciiTheme="minorHAnsi" w:hAnsiTheme="minorHAnsi"/>
          <w:color w:val="000000" w:themeColor="text1"/>
          <w:sz w:val="22"/>
          <w:szCs w:val="22"/>
        </w:rPr>
      </w:pPr>
    </w:p>
    <w:p w:rsidR="003B7AD1" w:rsidRPr="00787CBE" w:rsidRDefault="00597A93" w:rsidP="0024408F">
      <w:pPr>
        <w:pStyle w:val="SP"/>
        <w:numPr>
          <w:ilvl w:val="0"/>
          <w:numId w:val="28"/>
        </w:numPr>
        <w:autoSpaceDE w:val="0"/>
        <w:autoSpaceDN w:val="0"/>
        <w:adjustRightInd w:val="0"/>
        <w:spacing w:after="0" w:line="240" w:lineRule="auto"/>
        <w:ind w:left="501"/>
        <w:jc w:val="left"/>
        <w:rPr>
          <w:rFonts w:asciiTheme="minorHAnsi" w:hAnsiTheme="minorHAnsi"/>
          <w:color w:val="000000" w:themeColor="text1"/>
          <w:sz w:val="22"/>
          <w:szCs w:val="22"/>
        </w:rPr>
      </w:pPr>
      <w:r w:rsidRPr="00787CBE">
        <w:rPr>
          <w:rFonts w:asciiTheme="minorHAnsi" w:hAnsiTheme="minorHAnsi"/>
          <w:color w:val="000000" w:themeColor="text1"/>
          <w:sz w:val="22"/>
          <w:szCs w:val="22"/>
        </w:rPr>
        <w:t xml:space="preserve">The report does not consider any scenarios where the standard short rotation softwood regimes is replaced by any other horticultural or forestry regime.  These could </w:t>
      </w:r>
      <w:r w:rsidR="00B819E5" w:rsidRPr="00787CBE">
        <w:rPr>
          <w:rFonts w:asciiTheme="minorHAnsi" w:hAnsiTheme="minorHAnsi"/>
          <w:color w:val="000000" w:themeColor="text1"/>
          <w:sz w:val="22"/>
          <w:szCs w:val="22"/>
        </w:rPr>
        <w:t>be</w:t>
      </w:r>
      <w:r w:rsidRPr="00787CBE">
        <w:rPr>
          <w:rFonts w:asciiTheme="minorHAnsi" w:hAnsiTheme="minorHAnsi"/>
          <w:color w:val="000000" w:themeColor="text1"/>
          <w:sz w:val="22"/>
          <w:szCs w:val="22"/>
        </w:rPr>
        <w:t xml:space="preserve"> long rotation hardwood, trees as a host for high value other crops such as truffles or mushrooms, </w:t>
      </w:r>
      <w:r w:rsidR="00B819E5" w:rsidRPr="00787CBE">
        <w:rPr>
          <w:rFonts w:asciiTheme="minorHAnsi" w:hAnsiTheme="minorHAnsi"/>
          <w:color w:val="000000" w:themeColor="text1"/>
          <w:sz w:val="22"/>
          <w:szCs w:val="22"/>
        </w:rPr>
        <w:t xml:space="preserve">fruit or nut </w:t>
      </w:r>
      <w:r w:rsidRPr="00787CBE">
        <w:rPr>
          <w:rFonts w:asciiTheme="minorHAnsi" w:hAnsiTheme="minorHAnsi"/>
          <w:color w:val="000000" w:themeColor="text1"/>
          <w:sz w:val="22"/>
          <w:szCs w:val="22"/>
        </w:rPr>
        <w:t xml:space="preserve">trees </w:t>
      </w:r>
      <w:r w:rsidR="00B819E5" w:rsidRPr="00787CBE">
        <w:rPr>
          <w:rFonts w:asciiTheme="minorHAnsi" w:hAnsiTheme="minorHAnsi"/>
          <w:color w:val="000000" w:themeColor="text1"/>
          <w:sz w:val="22"/>
          <w:szCs w:val="22"/>
        </w:rPr>
        <w:t>or vines</w:t>
      </w:r>
      <w:r w:rsidRPr="00787CBE">
        <w:rPr>
          <w:rFonts w:asciiTheme="minorHAnsi" w:hAnsiTheme="minorHAnsi"/>
          <w:color w:val="000000" w:themeColor="text1"/>
          <w:sz w:val="22"/>
          <w:szCs w:val="22"/>
        </w:rPr>
        <w:t xml:space="preserve">, </w:t>
      </w:r>
      <w:r w:rsidR="00B819E5" w:rsidRPr="00787CBE">
        <w:rPr>
          <w:rFonts w:asciiTheme="minorHAnsi" w:hAnsiTheme="minorHAnsi"/>
          <w:color w:val="000000" w:themeColor="text1"/>
          <w:sz w:val="22"/>
          <w:szCs w:val="22"/>
        </w:rPr>
        <w:t xml:space="preserve">or </w:t>
      </w:r>
      <w:r w:rsidRPr="00787CBE">
        <w:rPr>
          <w:rFonts w:asciiTheme="minorHAnsi" w:hAnsiTheme="minorHAnsi"/>
          <w:color w:val="000000" w:themeColor="text1"/>
          <w:sz w:val="22"/>
          <w:szCs w:val="22"/>
        </w:rPr>
        <w:t xml:space="preserve">any form of intensive horticulture or cropping on classes 1-4.  The assessment </w:t>
      </w:r>
      <w:r w:rsidR="00B819E5" w:rsidRPr="00787CBE">
        <w:rPr>
          <w:rFonts w:asciiTheme="minorHAnsi" w:hAnsiTheme="minorHAnsi"/>
          <w:color w:val="000000" w:themeColor="text1"/>
          <w:sz w:val="22"/>
          <w:szCs w:val="22"/>
        </w:rPr>
        <w:t xml:space="preserve">is </w:t>
      </w:r>
      <w:r w:rsidRPr="00787CBE">
        <w:rPr>
          <w:rFonts w:asciiTheme="minorHAnsi" w:hAnsiTheme="minorHAnsi"/>
          <w:color w:val="000000" w:themeColor="text1"/>
          <w:sz w:val="22"/>
          <w:szCs w:val="22"/>
        </w:rPr>
        <w:t xml:space="preserve">an entirely pastoral farming-centric approach to allocation. </w:t>
      </w:r>
    </w:p>
    <w:p w:rsidR="00C94CB0" w:rsidRPr="00787CBE" w:rsidRDefault="00C94CB0" w:rsidP="00C94CB0">
      <w:pPr>
        <w:pStyle w:val="Default"/>
        <w:ind w:left="501"/>
        <w:rPr>
          <w:rFonts w:asciiTheme="minorHAnsi" w:hAnsiTheme="minorHAnsi"/>
          <w:color w:val="000000" w:themeColor="text1"/>
          <w:sz w:val="22"/>
          <w:szCs w:val="22"/>
        </w:rPr>
      </w:pPr>
    </w:p>
    <w:p w:rsidR="00787CBE" w:rsidRDefault="00372612" w:rsidP="0024408F">
      <w:pPr>
        <w:pStyle w:val="SP"/>
        <w:numPr>
          <w:ilvl w:val="0"/>
          <w:numId w:val="28"/>
        </w:numPr>
        <w:autoSpaceDE w:val="0"/>
        <w:autoSpaceDN w:val="0"/>
        <w:adjustRightInd w:val="0"/>
        <w:spacing w:after="0" w:line="240" w:lineRule="auto"/>
        <w:ind w:left="501"/>
        <w:jc w:val="left"/>
        <w:rPr>
          <w:rFonts w:asciiTheme="minorHAnsi" w:hAnsiTheme="minorHAnsi"/>
          <w:sz w:val="22"/>
          <w:szCs w:val="22"/>
        </w:rPr>
      </w:pPr>
      <w:r w:rsidRPr="00787CBE">
        <w:rPr>
          <w:rFonts w:asciiTheme="minorHAnsi" w:hAnsiTheme="minorHAnsi"/>
          <w:color w:val="000000" w:themeColor="text1"/>
          <w:sz w:val="22"/>
          <w:szCs w:val="22"/>
        </w:rPr>
        <w:t xml:space="preserve">A further option considered </w:t>
      </w:r>
      <w:r w:rsidR="0066072B" w:rsidRPr="00787CBE">
        <w:rPr>
          <w:rFonts w:asciiTheme="minorHAnsi" w:hAnsiTheme="minorHAnsi"/>
          <w:color w:val="000000" w:themeColor="text1"/>
          <w:sz w:val="22"/>
          <w:szCs w:val="22"/>
        </w:rPr>
        <w:t>and rule</w:t>
      </w:r>
      <w:r w:rsidR="00C94CB0" w:rsidRPr="00787CBE">
        <w:rPr>
          <w:rFonts w:asciiTheme="minorHAnsi" w:hAnsiTheme="minorHAnsi"/>
          <w:color w:val="000000" w:themeColor="text1"/>
          <w:sz w:val="22"/>
          <w:szCs w:val="22"/>
        </w:rPr>
        <w:t>d</w:t>
      </w:r>
      <w:r w:rsidR="0066072B" w:rsidRPr="00787CBE">
        <w:rPr>
          <w:rFonts w:asciiTheme="minorHAnsi" w:hAnsiTheme="minorHAnsi"/>
          <w:color w:val="000000" w:themeColor="text1"/>
          <w:sz w:val="22"/>
          <w:szCs w:val="22"/>
        </w:rPr>
        <w:t xml:space="preserve"> out </w:t>
      </w:r>
      <w:r w:rsidRPr="00787CBE">
        <w:rPr>
          <w:rFonts w:asciiTheme="minorHAnsi" w:hAnsiTheme="minorHAnsi"/>
          <w:color w:val="000000" w:themeColor="text1"/>
          <w:sz w:val="22"/>
          <w:szCs w:val="22"/>
        </w:rPr>
        <w:t xml:space="preserve">was </w:t>
      </w:r>
      <w:r w:rsidR="0066072B" w:rsidRPr="00787CBE">
        <w:rPr>
          <w:rFonts w:asciiTheme="minorHAnsi" w:hAnsiTheme="minorHAnsi"/>
          <w:color w:val="000000" w:themeColor="text1"/>
          <w:sz w:val="22"/>
          <w:szCs w:val="22"/>
        </w:rPr>
        <w:t>r</w:t>
      </w:r>
      <w:r w:rsidR="008A274A" w:rsidRPr="00787CBE">
        <w:rPr>
          <w:rFonts w:asciiTheme="minorHAnsi" w:hAnsiTheme="minorHAnsi"/>
          <w:color w:val="000000" w:themeColor="text1"/>
          <w:sz w:val="22"/>
          <w:szCs w:val="22"/>
        </w:rPr>
        <w:t>eallocation of nitrogen to forestry.</w:t>
      </w:r>
      <w:r w:rsidRPr="00787CBE">
        <w:rPr>
          <w:rFonts w:asciiTheme="minorHAnsi" w:hAnsiTheme="minorHAnsi"/>
          <w:color w:val="000000" w:themeColor="text1"/>
          <w:sz w:val="22"/>
          <w:szCs w:val="22"/>
        </w:rPr>
        <w:t xml:space="preserve"> Council advises that </w:t>
      </w:r>
      <w:r w:rsidR="00003928" w:rsidRPr="00787CBE">
        <w:rPr>
          <w:rFonts w:asciiTheme="minorHAnsi" w:hAnsiTheme="minorHAnsi"/>
          <w:color w:val="000000" w:themeColor="text1"/>
          <w:sz w:val="22"/>
          <w:szCs w:val="22"/>
        </w:rPr>
        <w:t>allocating</w:t>
      </w:r>
      <w:r w:rsidR="008A274A" w:rsidRPr="00787CBE">
        <w:rPr>
          <w:rFonts w:asciiTheme="minorHAnsi" w:hAnsiTheme="minorHAnsi"/>
          <w:color w:val="000000" w:themeColor="text1"/>
          <w:sz w:val="22"/>
          <w:szCs w:val="22"/>
        </w:rPr>
        <w:t xml:space="preserve"> </w:t>
      </w:r>
      <w:r w:rsidR="00B819E5" w:rsidRPr="00787CBE">
        <w:rPr>
          <w:rFonts w:asciiTheme="minorHAnsi" w:hAnsiTheme="minorHAnsi"/>
          <w:color w:val="000000" w:themeColor="text1"/>
          <w:sz w:val="22"/>
          <w:szCs w:val="22"/>
        </w:rPr>
        <w:t xml:space="preserve">more nitrogen to forestry will </w:t>
      </w:r>
      <w:r w:rsidR="00003928" w:rsidRPr="00787CBE">
        <w:rPr>
          <w:rFonts w:asciiTheme="minorHAnsi" w:hAnsiTheme="minorHAnsi"/>
          <w:color w:val="000000" w:themeColor="text1"/>
          <w:sz w:val="22"/>
          <w:szCs w:val="22"/>
        </w:rPr>
        <w:t>reduce</w:t>
      </w:r>
      <w:r w:rsidR="008A274A" w:rsidRPr="00787CBE">
        <w:rPr>
          <w:rFonts w:asciiTheme="minorHAnsi" w:hAnsiTheme="minorHAnsi"/>
          <w:color w:val="000000" w:themeColor="text1"/>
          <w:sz w:val="22"/>
          <w:szCs w:val="22"/>
        </w:rPr>
        <w:t xml:space="preserve"> allocat</w:t>
      </w:r>
      <w:r w:rsidR="00003928" w:rsidRPr="00787CBE">
        <w:rPr>
          <w:rFonts w:asciiTheme="minorHAnsi" w:hAnsiTheme="minorHAnsi"/>
          <w:color w:val="000000" w:themeColor="text1"/>
          <w:sz w:val="22"/>
          <w:szCs w:val="22"/>
        </w:rPr>
        <w:t>ions</w:t>
      </w:r>
      <w:r w:rsidR="008A274A" w:rsidRPr="00787CBE">
        <w:rPr>
          <w:rFonts w:asciiTheme="minorHAnsi" w:hAnsiTheme="minorHAnsi"/>
          <w:color w:val="000000" w:themeColor="text1"/>
          <w:sz w:val="22"/>
          <w:szCs w:val="22"/>
        </w:rPr>
        <w:t xml:space="preserve"> to the </w:t>
      </w:r>
      <w:r w:rsidR="00B819E5" w:rsidRPr="00787CBE">
        <w:rPr>
          <w:rFonts w:asciiTheme="minorHAnsi" w:hAnsiTheme="minorHAnsi"/>
          <w:color w:val="000000" w:themeColor="text1"/>
          <w:sz w:val="22"/>
          <w:szCs w:val="22"/>
        </w:rPr>
        <w:t>pastoral</w:t>
      </w:r>
      <w:r w:rsidR="008A274A" w:rsidRPr="00787CBE">
        <w:rPr>
          <w:rFonts w:asciiTheme="minorHAnsi" w:hAnsiTheme="minorHAnsi"/>
          <w:color w:val="000000" w:themeColor="text1"/>
          <w:sz w:val="22"/>
          <w:szCs w:val="22"/>
        </w:rPr>
        <w:t xml:space="preserve"> sector</w:t>
      </w:r>
      <w:r w:rsidR="00B819E5" w:rsidRPr="00787CBE">
        <w:rPr>
          <w:rFonts w:asciiTheme="minorHAnsi" w:hAnsiTheme="minorHAnsi"/>
          <w:color w:val="000000" w:themeColor="text1"/>
          <w:sz w:val="22"/>
          <w:szCs w:val="22"/>
        </w:rPr>
        <w:t xml:space="preserve"> can’t be done because</w:t>
      </w:r>
      <w:r w:rsidR="00787CBE">
        <w:rPr>
          <w:rFonts w:asciiTheme="minorHAnsi" w:hAnsiTheme="minorHAnsi"/>
          <w:color w:val="000000" w:themeColor="text1"/>
          <w:sz w:val="22"/>
          <w:szCs w:val="22"/>
        </w:rPr>
        <w:t>:</w:t>
      </w:r>
      <w:r w:rsidR="00B819E5" w:rsidRPr="00787CBE">
        <w:rPr>
          <w:rFonts w:asciiTheme="minorHAnsi" w:hAnsiTheme="minorHAnsi"/>
          <w:color w:val="000000" w:themeColor="text1"/>
          <w:sz w:val="22"/>
          <w:szCs w:val="22"/>
        </w:rPr>
        <w:t xml:space="preserve"> </w:t>
      </w:r>
      <w:r w:rsidR="008A274A" w:rsidRPr="00787CBE">
        <w:rPr>
          <w:rFonts w:asciiTheme="minorHAnsi" w:hAnsiTheme="minorHAnsi"/>
          <w:i/>
          <w:color w:val="000000" w:themeColor="text1"/>
          <w:sz w:val="22"/>
          <w:szCs w:val="22"/>
        </w:rPr>
        <w:t>This will alter the Integrated Framework</w:t>
      </w:r>
      <w:r w:rsidR="00B819E5" w:rsidRPr="00787CBE">
        <w:rPr>
          <w:rFonts w:asciiTheme="minorHAnsi" w:hAnsiTheme="minorHAnsi"/>
          <w:i/>
          <w:color w:val="000000" w:themeColor="text1"/>
          <w:sz w:val="22"/>
          <w:szCs w:val="22"/>
        </w:rPr>
        <w:t>,</w:t>
      </w:r>
      <w:r w:rsidR="009E0FC9" w:rsidRPr="00787CBE">
        <w:rPr>
          <w:rFonts w:asciiTheme="minorHAnsi" w:hAnsiTheme="minorHAnsi"/>
          <w:i/>
          <w:color w:val="000000" w:themeColor="text1"/>
          <w:sz w:val="22"/>
          <w:szCs w:val="22"/>
        </w:rPr>
        <w:t xml:space="preserve"> </w:t>
      </w:r>
      <w:r w:rsidR="00B819E5" w:rsidRPr="00787CBE">
        <w:rPr>
          <w:rFonts w:asciiTheme="minorHAnsi" w:hAnsiTheme="minorHAnsi"/>
          <w:i/>
          <w:color w:val="000000" w:themeColor="text1"/>
          <w:sz w:val="22"/>
          <w:szCs w:val="22"/>
        </w:rPr>
        <w:t xml:space="preserve">which </w:t>
      </w:r>
      <w:r w:rsidR="009E0FC9" w:rsidRPr="00787CBE">
        <w:rPr>
          <w:rFonts w:asciiTheme="minorHAnsi" w:hAnsiTheme="minorHAnsi"/>
          <w:i/>
          <w:color w:val="000000" w:themeColor="text1"/>
          <w:sz w:val="22"/>
          <w:szCs w:val="22"/>
        </w:rPr>
        <w:t xml:space="preserve">was developed based on “extensive community engagement”. </w:t>
      </w:r>
      <w:r w:rsidR="003B7AD1" w:rsidRPr="00787CBE">
        <w:rPr>
          <w:rFonts w:asciiTheme="minorHAnsi" w:hAnsiTheme="minorHAnsi"/>
          <w:i/>
          <w:color w:val="000000" w:themeColor="text1"/>
          <w:sz w:val="22"/>
          <w:szCs w:val="22"/>
        </w:rPr>
        <w:t xml:space="preserve"> </w:t>
      </w:r>
      <w:r w:rsidR="00B819E5" w:rsidRPr="00787CBE">
        <w:rPr>
          <w:rFonts w:asciiTheme="minorHAnsi" w:hAnsiTheme="minorHAnsi"/>
          <w:i/>
          <w:color w:val="000000" w:themeColor="text1"/>
          <w:sz w:val="22"/>
          <w:szCs w:val="22"/>
        </w:rPr>
        <w:t xml:space="preserve"> </w:t>
      </w:r>
      <w:r w:rsidR="00817F78" w:rsidRPr="00787CBE">
        <w:rPr>
          <w:rFonts w:asciiTheme="minorHAnsi" w:hAnsiTheme="minorHAnsi"/>
          <w:color w:val="000000" w:themeColor="text1"/>
          <w:sz w:val="22"/>
          <w:szCs w:val="22"/>
        </w:rPr>
        <w:t xml:space="preserve">Timberlands </w:t>
      </w:r>
      <w:r w:rsidR="003B7AD1" w:rsidRPr="00787CBE">
        <w:rPr>
          <w:rFonts w:asciiTheme="minorHAnsi" w:hAnsiTheme="minorHAnsi"/>
          <w:color w:val="000000" w:themeColor="text1"/>
          <w:sz w:val="22"/>
          <w:szCs w:val="22"/>
        </w:rPr>
        <w:t>contends that the Integrated Framework</w:t>
      </w:r>
      <w:r w:rsidR="0066072B" w:rsidRPr="00787CBE">
        <w:rPr>
          <w:rFonts w:asciiTheme="minorHAnsi" w:hAnsiTheme="minorHAnsi"/>
          <w:color w:val="000000" w:themeColor="text1"/>
          <w:sz w:val="22"/>
          <w:szCs w:val="22"/>
        </w:rPr>
        <w:t xml:space="preserve"> </w:t>
      </w:r>
      <w:r w:rsidR="00817F78" w:rsidRPr="00787CBE">
        <w:rPr>
          <w:rFonts w:asciiTheme="minorHAnsi" w:hAnsiTheme="minorHAnsi"/>
          <w:color w:val="000000" w:themeColor="text1"/>
          <w:sz w:val="22"/>
          <w:szCs w:val="22"/>
        </w:rPr>
        <w:t xml:space="preserve">was </w:t>
      </w:r>
      <w:r w:rsidR="00B819E5" w:rsidRPr="00787CBE">
        <w:rPr>
          <w:rFonts w:asciiTheme="minorHAnsi" w:hAnsiTheme="minorHAnsi"/>
          <w:color w:val="000000" w:themeColor="text1"/>
          <w:sz w:val="22"/>
          <w:szCs w:val="22"/>
        </w:rPr>
        <w:t xml:space="preserve">mainly </w:t>
      </w:r>
      <w:r w:rsidR="0066072B" w:rsidRPr="00787CBE">
        <w:rPr>
          <w:rFonts w:asciiTheme="minorHAnsi" w:hAnsiTheme="minorHAnsi"/>
          <w:color w:val="000000" w:themeColor="text1"/>
          <w:sz w:val="22"/>
          <w:szCs w:val="22"/>
        </w:rPr>
        <w:t xml:space="preserve">developed by a sub-group of </w:t>
      </w:r>
      <w:proofErr w:type="spellStart"/>
      <w:r w:rsidR="0066072B" w:rsidRPr="00787CBE">
        <w:rPr>
          <w:rFonts w:asciiTheme="minorHAnsi" w:hAnsiTheme="minorHAnsi"/>
          <w:color w:val="000000" w:themeColor="text1"/>
          <w:sz w:val="22"/>
          <w:szCs w:val="22"/>
        </w:rPr>
        <w:t>StAG</w:t>
      </w:r>
      <w:proofErr w:type="spellEnd"/>
      <w:r w:rsidR="00787CBE">
        <w:rPr>
          <w:rFonts w:asciiTheme="minorHAnsi" w:hAnsiTheme="minorHAnsi"/>
          <w:color w:val="000000" w:themeColor="text1"/>
          <w:sz w:val="22"/>
          <w:szCs w:val="22"/>
        </w:rPr>
        <w:t xml:space="preserve"> -</w:t>
      </w:r>
      <w:r w:rsidR="00787CBE" w:rsidRPr="00787CBE">
        <w:rPr>
          <w:rFonts w:asciiTheme="minorHAnsi" w:hAnsiTheme="minorHAnsi"/>
          <w:sz w:val="22"/>
          <w:szCs w:val="22"/>
        </w:rPr>
        <w:t xml:space="preserve"> </w:t>
      </w:r>
      <w:r w:rsidR="00787CBE">
        <w:rPr>
          <w:rFonts w:asciiTheme="minorHAnsi" w:hAnsiTheme="minorHAnsi"/>
          <w:sz w:val="22"/>
          <w:szCs w:val="22"/>
        </w:rPr>
        <w:t xml:space="preserve">the Lake Rotorua Primary Producers who presented it to </w:t>
      </w:r>
      <w:proofErr w:type="spellStart"/>
      <w:r w:rsidR="00787CBE">
        <w:rPr>
          <w:rFonts w:asciiTheme="minorHAnsi" w:hAnsiTheme="minorHAnsi"/>
          <w:sz w:val="22"/>
          <w:szCs w:val="22"/>
        </w:rPr>
        <w:t>StAG</w:t>
      </w:r>
      <w:proofErr w:type="spellEnd"/>
      <w:r w:rsidR="00787CBE">
        <w:rPr>
          <w:rFonts w:asciiTheme="minorHAnsi" w:hAnsiTheme="minorHAnsi"/>
          <w:sz w:val="22"/>
          <w:szCs w:val="22"/>
        </w:rPr>
        <w:t xml:space="preserve">, who accepted it.  </w:t>
      </w:r>
      <w:r w:rsidR="00817F78" w:rsidRPr="00787CBE">
        <w:rPr>
          <w:rFonts w:asciiTheme="minorHAnsi" w:hAnsiTheme="minorHAnsi"/>
          <w:color w:val="000000" w:themeColor="text1"/>
          <w:sz w:val="22"/>
          <w:szCs w:val="22"/>
        </w:rPr>
        <w:t xml:space="preserve">The </w:t>
      </w:r>
      <w:proofErr w:type="spellStart"/>
      <w:r w:rsidR="00817F78" w:rsidRPr="00787CBE">
        <w:rPr>
          <w:rFonts w:asciiTheme="minorHAnsi" w:hAnsiTheme="minorHAnsi"/>
          <w:color w:val="000000" w:themeColor="text1"/>
          <w:sz w:val="22"/>
          <w:szCs w:val="22"/>
        </w:rPr>
        <w:t>StAG</w:t>
      </w:r>
      <w:proofErr w:type="spellEnd"/>
      <w:r w:rsidR="00817F78" w:rsidRPr="00787CBE">
        <w:rPr>
          <w:rFonts w:asciiTheme="minorHAnsi" w:hAnsiTheme="minorHAnsi"/>
          <w:color w:val="000000" w:themeColor="text1"/>
          <w:sz w:val="22"/>
          <w:szCs w:val="22"/>
        </w:rPr>
        <w:t xml:space="preserve"> </w:t>
      </w:r>
      <w:r w:rsidR="00B819E5" w:rsidRPr="00787CBE">
        <w:rPr>
          <w:rFonts w:asciiTheme="minorHAnsi" w:hAnsiTheme="minorHAnsi"/>
          <w:color w:val="000000" w:themeColor="text1"/>
          <w:sz w:val="22"/>
          <w:szCs w:val="22"/>
        </w:rPr>
        <w:t xml:space="preserve">membership </w:t>
      </w:r>
      <w:r w:rsidR="00817F78">
        <w:rPr>
          <w:rFonts w:asciiTheme="minorHAnsi" w:hAnsiTheme="minorHAnsi"/>
          <w:sz w:val="22"/>
          <w:szCs w:val="22"/>
        </w:rPr>
        <w:t xml:space="preserve">was already skewed towards pastoral interests. It was further skewed </w:t>
      </w:r>
      <w:r w:rsidR="00787CBE">
        <w:rPr>
          <w:rFonts w:asciiTheme="minorHAnsi" w:hAnsiTheme="minorHAnsi"/>
          <w:sz w:val="22"/>
          <w:szCs w:val="22"/>
        </w:rPr>
        <w:t xml:space="preserve">by </w:t>
      </w:r>
      <w:r w:rsidR="00817F78">
        <w:rPr>
          <w:rFonts w:asciiTheme="minorHAnsi" w:hAnsiTheme="minorHAnsi"/>
          <w:sz w:val="22"/>
          <w:szCs w:val="22"/>
        </w:rPr>
        <w:t>professionals</w:t>
      </w:r>
      <w:r w:rsidR="00787CBE">
        <w:rPr>
          <w:rStyle w:val="FootnoteReference"/>
          <w:rFonts w:asciiTheme="minorHAnsi" w:hAnsiTheme="minorHAnsi"/>
          <w:sz w:val="22"/>
          <w:szCs w:val="22"/>
        </w:rPr>
        <w:footnoteReference w:id="8"/>
      </w:r>
      <w:r w:rsidR="00817F78">
        <w:rPr>
          <w:rFonts w:asciiTheme="minorHAnsi" w:hAnsiTheme="minorHAnsi"/>
          <w:sz w:val="22"/>
          <w:szCs w:val="22"/>
        </w:rPr>
        <w:t xml:space="preserve"> supporting the pastoral representatives of </w:t>
      </w:r>
      <w:proofErr w:type="spellStart"/>
      <w:r w:rsidR="00817F78">
        <w:rPr>
          <w:rFonts w:asciiTheme="minorHAnsi" w:hAnsiTheme="minorHAnsi"/>
          <w:sz w:val="22"/>
          <w:szCs w:val="22"/>
        </w:rPr>
        <w:t>StAG</w:t>
      </w:r>
      <w:proofErr w:type="spellEnd"/>
      <w:r w:rsidR="00787CBE">
        <w:rPr>
          <w:rFonts w:asciiTheme="minorHAnsi" w:hAnsiTheme="minorHAnsi"/>
          <w:sz w:val="22"/>
          <w:szCs w:val="22"/>
        </w:rPr>
        <w:t xml:space="preserve"> actively participating in </w:t>
      </w:r>
      <w:proofErr w:type="spellStart"/>
      <w:r w:rsidR="00787CBE">
        <w:rPr>
          <w:rFonts w:asciiTheme="minorHAnsi" w:hAnsiTheme="minorHAnsi"/>
          <w:sz w:val="22"/>
          <w:szCs w:val="22"/>
        </w:rPr>
        <w:t>StAG</w:t>
      </w:r>
      <w:proofErr w:type="spellEnd"/>
      <w:r w:rsidR="00787CBE">
        <w:rPr>
          <w:rFonts w:asciiTheme="minorHAnsi" w:hAnsiTheme="minorHAnsi"/>
          <w:sz w:val="22"/>
          <w:szCs w:val="22"/>
        </w:rPr>
        <w:t xml:space="preserve"> meetings and who heavily assisted in the development of the Integrated Framework</w:t>
      </w:r>
      <w:r w:rsidR="00817F78">
        <w:rPr>
          <w:rFonts w:asciiTheme="minorHAnsi" w:hAnsiTheme="minorHAnsi"/>
          <w:sz w:val="22"/>
          <w:szCs w:val="22"/>
        </w:rPr>
        <w:t xml:space="preserve">.  </w:t>
      </w:r>
    </w:p>
    <w:p w:rsidR="00787CBE" w:rsidRDefault="00787CBE" w:rsidP="00787CBE">
      <w:pPr>
        <w:pStyle w:val="Default"/>
        <w:ind w:left="501"/>
        <w:rPr>
          <w:rFonts w:asciiTheme="minorHAnsi" w:hAnsiTheme="minorHAnsi"/>
          <w:sz w:val="22"/>
          <w:szCs w:val="22"/>
        </w:rPr>
      </w:pPr>
    </w:p>
    <w:p w:rsidR="008A274A" w:rsidRDefault="009E0FC9" w:rsidP="0024408F">
      <w:pPr>
        <w:pStyle w:val="SP"/>
        <w:numPr>
          <w:ilvl w:val="0"/>
          <w:numId w:val="28"/>
        </w:numPr>
        <w:autoSpaceDE w:val="0"/>
        <w:autoSpaceDN w:val="0"/>
        <w:adjustRightInd w:val="0"/>
        <w:spacing w:after="0" w:line="240" w:lineRule="auto"/>
        <w:ind w:left="501"/>
        <w:jc w:val="left"/>
        <w:rPr>
          <w:rFonts w:asciiTheme="minorHAnsi" w:hAnsiTheme="minorHAnsi"/>
          <w:sz w:val="22"/>
          <w:szCs w:val="22"/>
        </w:rPr>
      </w:pPr>
      <w:r w:rsidRPr="00372612">
        <w:rPr>
          <w:rFonts w:asciiTheme="minorHAnsi" w:hAnsiTheme="minorHAnsi"/>
          <w:color w:val="000000" w:themeColor="text1"/>
          <w:sz w:val="22"/>
          <w:szCs w:val="22"/>
        </w:rPr>
        <w:t>T</w:t>
      </w:r>
      <w:r w:rsidR="003B7AD1" w:rsidRPr="00372612">
        <w:rPr>
          <w:rFonts w:asciiTheme="minorHAnsi" w:hAnsiTheme="minorHAnsi"/>
          <w:color w:val="000000" w:themeColor="text1"/>
          <w:sz w:val="22"/>
          <w:szCs w:val="22"/>
        </w:rPr>
        <w:t xml:space="preserve">he present </w:t>
      </w:r>
      <w:r w:rsidRPr="00372612">
        <w:rPr>
          <w:rFonts w:asciiTheme="minorHAnsi" w:hAnsiTheme="minorHAnsi"/>
          <w:color w:val="000000" w:themeColor="text1"/>
          <w:sz w:val="22"/>
          <w:szCs w:val="22"/>
        </w:rPr>
        <w:t xml:space="preserve">nitrogen </w:t>
      </w:r>
      <w:r w:rsidR="003B7AD1" w:rsidRPr="00372612">
        <w:rPr>
          <w:rFonts w:asciiTheme="minorHAnsi" w:hAnsiTheme="minorHAnsi"/>
          <w:color w:val="000000" w:themeColor="text1"/>
          <w:sz w:val="22"/>
          <w:szCs w:val="22"/>
        </w:rPr>
        <w:t xml:space="preserve">distribution </w:t>
      </w:r>
      <w:r w:rsidR="00787CBE">
        <w:rPr>
          <w:rFonts w:asciiTheme="minorHAnsi" w:hAnsiTheme="minorHAnsi"/>
          <w:color w:val="000000" w:themeColor="text1"/>
          <w:sz w:val="22"/>
          <w:szCs w:val="22"/>
        </w:rPr>
        <w:t xml:space="preserve">entirely </w:t>
      </w:r>
      <w:r w:rsidR="003B7AD1" w:rsidRPr="00372612">
        <w:rPr>
          <w:rFonts w:asciiTheme="minorHAnsi" w:hAnsiTheme="minorHAnsi"/>
          <w:color w:val="000000" w:themeColor="text1"/>
          <w:sz w:val="22"/>
          <w:szCs w:val="22"/>
        </w:rPr>
        <w:t>weights towards current land use, not appropriate land use</w:t>
      </w:r>
      <w:r w:rsidR="00003928">
        <w:rPr>
          <w:rFonts w:asciiTheme="minorHAnsi" w:hAnsiTheme="minorHAnsi"/>
          <w:color w:val="000000" w:themeColor="text1"/>
          <w:sz w:val="22"/>
          <w:szCs w:val="22"/>
        </w:rPr>
        <w:t>.</w:t>
      </w:r>
      <w:r w:rsidRPr="00372612">
        <w:rPr>
          <w:rFonts w:asciiTheme="minorHAnsi" w:hAnsiTheme="minorHAnsi"/>
          <w:color w:val="000000" w:themeColor="text1"/>
          <w:sz w:val="22"/>
          <w:szCs w:val="22"/>
        </w:rPr>
        <w:t xml:space="preserve"> </w:t>
      </w:r>
      <w:r w:rsidR="008A274A" w:rsidRPr="00372612">
        <w:rPr>
          <w:rFonts w:asciiTheme="minorHAnsi" w:hAnsiTheme="minorHAnsi"/>
          <w:color w:val="000000" w:themeColor="text1"/>
          <w:sz w:val="22"/>
          <w:szCs w:val="22"/>
        </w:rPr>
        <w:t xml:space="preserve"> </w:t>
      </w:r>
      <w:r w:rsidR="00372612" w:rsidRPr="00372612">
        <w:rPr>
          <w:rFonts w:asciiTheme="minorHAnsi" w:hAnsiTheme="minorHAnsi"/>
          <w:color w:val="000000" w:themeColor="text1"/>
          <w:sz w:val="22"/>
          <w:szCs w:val="22"/>
        </w:rPr>
        <w:t xml:space="preserve"> Council advises that re-weighting N </w:t>
      </w:r>
      <w:r w:rsidR="008A274A" w:rsidRPr="00372612">
        <w:rPr>
          <w:rFonts w:asciiTheme="minorHAnsi" w:hAnsiTheme="minorHAnsi"/>
          <w:sz w:val="22"/>
          <w:szCs w:val="22"/>
        </w:rPr>
        <w:t xml:space="preserve">would result in increased economic impacts </w:t>
      </w:r>
      <w:r w:rsidR="00372612" w:rsidRPr="00372612">
        <w:rPr>
          <w:rFonts w:asciiTheme="minorHAnsi" w:hAnsiTheme="minorHAnsi"/>
          <w:sz w:val="22"/>
          <w:szCs w:val="22"/>
        </w:rPr>
        <w:t>“</w:t>
      </w:r>
      <w:r w:rsidR="008A274A" w:rsidRPr="00372612">
        <w:rPr>
          <w:rFonts w:asciiTheme="minorHAnsi" w:hAnsiTheme="minorHAnsi"/>
          <w:sz w:val="22"/>
          <w:szCs w:val="22"/>
        </w:rPr>
        <w:t>within the sector</w:t>
      </w:r>
      <w:r w:rsidR="00372612" w:rsidRPr="00372612">
        <w:rPr>
          <w:rFonts w:asciiTheme="minorHAnsi" w:hAnsiTheme="minorHAnsi"/>
          <w:sz w:val="22"/>
          <w:szCs w:val="22"/>
        </w:rPr>
        <w:t>”</w:t>
      </w:r>
      <w:r w:rsidR="00880014">
        <w:rPr>
          <w:rFonts w:asciiTheme="minorHAnsi" w:hAnsiTheme="minorHAnsi"/>
          <w:sz w:val="22"/>
          <w:szCs w:val="22"/>
        </w:rPr>
        <w:t xml:space="preserve"> and i</w:t>
      </w:r>
      <w:r w:rsidR="00E50841">
        <w:rPr>
          <w:rFonts w:asciiTheme="minorHAnsi" w:hAnsiTheme="minorHAnsi"/>
          <w:sz w:val="22"/>
          <w:szCs w:val="22"/>
        </w:rPr>
        <w:t>t support</w:t>
      </w:r>
      <w:r w:rsidR="00787CBE">
        <w:rPr>
          <w:rFonts w:asciiTheme="minorHAnsi" w:hAnsiTheme="minorHAnsi"/>
          <w:sz w:val="22"/>
          <w:szCs w:val="22"/>
        </w:rPr>
        <w:t>s the continuation of</w:t>
      </w:r>
      <w:r w:rsidR="00E50841">
        <w:rPr>
          <w:rFonts w:asciiTheme="minorHAnsi" w:hAnsiTheme="minorHAnsi"/>
          <w:sz w:val="22"/>
          <w:szCs w:val="22"/>
        </w:rPr>
        <w:t xml:space="preserve"> high-leaching activities</w:t>
      </w:r>
      <w:r w:rsidR="00787CBE">
        <w:rPr>
          <w:rFonts w:asciiTheme="minorHAnsi" w:hAnsiTheme="minorHAnsi"/>
          <w:sz w:val="22"/>
          <w:szCs w:val="22"/>
        </w:rPr>
        <w:t xml:space="preserve"> albeit on</w:t>
      </w:r>
      <w:r w:rsidR="00492324">
        <w:rPr>
          <w:rFonts w:asciiTheme="minorHAnsi" w:hAnsiTheme="minorHAnsi"/>
          <w:sz w:val="22"/>
          <w:szCs w:val="22"/>
        </w:rPr>
        <w:t xml:space="preserve"> </w:t>
      </w:r>
      <w:r w:rsidR="00787CBE">
        <w:rPr>
          <w:rFonts w:asciiTheme="minorHAnsi" w:hAnsiTheme="minorHAnsi"/>
          <w:sz w:val="22"/>
          <w:szCs w:val="22"/>
        </w:rPr>
        <w:t>a sinking lid basis</w:t>
      </w:r>
      <w:r w:rsidR="00492324">
        <w:rPr>
          <w:rFonts w:asciiTheme="minorHAnsi" w:hAnsiTheme="minorHAnsi"/>
          <w:sz w:val="22"/>
          <w:szCs w:val="22"/>
        </w:rPr>
        <w:t xml:space="preserve">. </w:t>
      </w:r>
      <w:r w:rsidR="00E50841">
        <w:rPr>
          <w:rFonts w:asciiTheme="minorHAnsi" w:hAnsiTheme="minorHAnsi"/>
          <w:sz w:val="22"/>
          <w:szCs w:val="22"/>
        </w:rPr>
        <w:t xml:space="preserve"> </w:t>
      </w:r>
      <w:r w:rsidR="0024408F">
        <w:rPr>
          <w:rFonts w:asciiTheme="minorHAnsi" w:hAnsiTheme="minorHAnsi"/>
          <w:sz w:val="22"/>
          <w:szCs w:val="22"/>
        </w:rPr>
        <w:t>Timberlands believes that Council’s observation</w:t>
      </w:r>
      <w:r w:rsidR="00143002">
        <w:rPr>
          <w:rFonts w:asciiTheme="minorHAnsi" w:hAnsiTheme="minorHAnsi"/>
          <w:sz w:val="22"/>
          <w:szCs w:val="22"/>
        </w:rPr>
        <w:t xml:space="preserve">s about </w:t>
      </w:r>
      <w:r w:rsidR="00003928" w:rsidRPr="00615E78">
        <w:rPr>
          <w:rFonts w:asciiTheme="minorHAnsi" w:hAnsiTheme="minorHAnsi"/>
          <w:color w:val="000000" w:themeColor="text1"/>
          <w:sz w:val="22"/>
          <w:szCs w:val="22"/>
        </w:rPr>
        <w:t>th</w:t>
      </w:r>
      <w:r w:rsidR="0024408F" w:rsidRPr="00615E78">
        <w:rPr>
          <w:rFonts w:asciiTheme="minorHAnsi" w:hAnsiTheme="minorHAnsi"/>
          <w:color w:val="000000" w:themeColor="text1"/>
          <w:sz w:val="22"/>
          <w:szCs w:val="22"/>
        </w:rPr>
        <w:t>e</w:t>
      </w:r>
      <w:r w:rsidR="00003928" w:rsidRPr="00615E78">
        <w:rPr>
          <w:rFonts w:asciiTheme="minorHAnsi" w:hAnsiTheme="minorHAnsi"/>
          <w:color w:val="000000" w:themeColor="text1"/>
          <w:sz w:val="22"/>
          <w:szCs w:val="22"/>
        </w:rPr>
        <w:t xml:space="preserve"> change </w:t>
      </w:r>
      <w:r w:rsidR="0024408F" w:rsidRPr="00615E78">
        <w:rPr>
          <w:rFonts w:asciiTheme="minorHAnsi" w:hAnsiTheme="minorHAnsi"/>
          <w:color w:val="000000" w:themeColor="text1"/>
          <w:sz w:val="22"/>
          <w:szCs w:val="22"/>
        </w:rPr>
        <w:t>in</w:t>
      </w:r>
      <w:r w:rsidR="00003928" w:rsidRPr="00615E78">
        <w:rPr>
          <w:rFonts w:asciiTheme="minorHAnsi" w:hAnsiTheme="minorHAnsi"/>
          <w:color w:val="000000" w:themeColor="text1"/>
          <w:sz w:val="22"/>
          <w:szCs w:val="22"/>
        </w:rPr>
        <w:t xml:space="preserve"> </w:t>
      </w:r>
      <w:r w:rsidR="00E50841" w:rsidRPr="00615E78">
        <w:rPr>
          <w:rFonts w:asciiTheme="minorHAnsi" w:hAnsiTheme="minorHAnsi"/>
          <w:color w:val="000000" w:themeColor="text1"/>
          <w:sz w:val="22"/>
          <w:szCs w:val="22"/>
        </w:rPr>
        <w:t xml:space="preserve">weighting of </w:t>
      </w:r>
      <w:r w:rsidR="00003928" w:rsidRPr="00615E78">
        <w:rPr>
          <w:rFonts w:asciiTheme="minorHAnsi" w:hAnsiTheme="minorHAnsi"/>
          <w:color w:val="000000" w:themeColor="text1"/>
          <w:sz w:val="22"/>
          <w:szCs w:val="22"/>
        </w:rPr>
        <w:t xml:space="preserve">economic impacts </w:t>
      </w:r>
      <w:r w:rsidR="00E50841" w:rsidRPr="00615E78">
        <w:rPr>
          <w:rFonts w:asciiTheme="minorHAnsi" w:hAnsiTheme="minorHAnsi"/>
          <w:color w:val="000000" w:themeColor="text1"/>
          <w:sz w:val="22"/>
          <w:szCs w:val="22"/>
        </w:rPr>
        <w:t xml:space="preserve">on some land uses </w:t>
      </w:r>
      <w:r w:rsidR="00143002" w:rsidRPr="00615E78">
        <w:rPr>
          <w:rFonts w:asciiTheme="minorHAnsi" w:hAnsiTheme="minorHAnsi"/>
          <w:color w:val="000000" w:themeColor="text1"/>
          <w:sz w:val="22"/>
          <w:szCs w:val="22"/>
        </w:rPr>
        <w:t xml:space="preserve">does </w:t>
      </w:r>
      <w:r w:rsidR="0024408F" w:rsidRPr="00615E78">
        <w:rPr>
          <w:rFonts w:asciiTheme="minorHAnsi" w:hAnsiTheme="minorHAnsi"/>
          <w:color w:val="000000" w:themeColor="text1"/>
          <w:sz w:val="22"/>
          <w:szCs w:val="22"/>
        </w:rPr>
        <w:t xml:space="preserve">not </w:t>
      </w:r>
      <w:r w:rsidR="00143002" w:rsidRPr="00615E78">
        <w:rPr>
          <w:rFonts w:asciiTheme="minorHAnsi" w:hAnsiTheme="minorHAnsi"/>
          <w:color w:val="000000" w:themeColor="text1"/>
          <w:sz w:val="22"/>
          <w:szCs w:val="22"/>
        </w:rPr>
        <w:t xml:space="preserve">identify </w:t>
      </w:r>
      <w:r w:rsidR="00003928" w:rsidRPr="00615E78">
        <w:rPr>
          <w:rFonts w:asciiTheme="minorHAnsi" w:hAnsiTheme="minorHAnsi"/>
          <w:color w:val="000000" w:themeColor="text1"/>
          <w:sz w:val="22"/>
          <w:szCs w:val="22"/>
        </w:rPr>
        <w:t>a compelling argumen</w:t>
      </w:r>
      <w:r w:rsidR="00615E78" w:rsidRPr="00615E78">
        <w:rPr>
          <w:rFonts w:asciiTheme="minorHAnsi" w:hAnsiTheme="minorHAnsi"/>
          <w:color w:val="000000" w:themeColor="text1"/>
          <w:sz w:val="22"/>
          <w:szCs w:val="22"/>
        </w:rPr>
        <w:t>t</w:t>
      </w:r>
      <w:r w:rsidR="00880014">
        <w:rPr>
          <w:rFonts w:asciiTheme="minorHAnsi" w:hAnsiTheme="minorHAnsi"/>
          <w:color w:val="000000" w:themeColor="text1"/>
          <w:sz w:val="22"/>
          <w:szCs w:val="22"/>
        </w:rPr>
        <w:t xml:space="preserve"> for that approach</w:t>
      </w:r>
      <w:r w:rsidR="00003928">
        <w:rPr>
          <w:rFonts w:asciiTheme="minorHAnsi" w:hAnsiTheme="minorHAnsi"/>
          <w:sz w:val="22"/>
          <w:szCs w:val="22"/>
        </w:rPr>
        <w:t xml:space="preserve">. </w:t>
      </w:r>
      <w:r w:rsidR="00492324">
        <w:rPr>
          <w:rFonts w:asciiTheme="minorHAnsi" w:hAnsiTheme="minorHAnsi"/>
          <w:sz w:val="22"/>
          <w:szCs w:val="22"/>
        </w:rPr>
        <w:t xml:space="preserve">This policy regime has multi-million dollar negative economic impacts on some groups.  </w:t>
      </w:r>
    </w:p>
    <w:p w:rsidR="005046B9" w:rsidRPr="00DD7FF9" w:rsidRDefault="005046B9" w:rsidP="00D36B92"/>
    <w:p w:rsidR="00907364" w:rsidRDefault="003E3752" w:rsidP="005E2C0F">
      <w:pPr>
        <w:pStyle w:val="SP"/>
        <w:numPr>
          <w:ilvl w:val="0"/>
          <w:numId w:val="28"/>
        </w:numPr>
        <w:autoSpaceDE w:val="0"/>
        <w:autoSpaceDN w:val="0"/>
        <w:adjustRightInd w:val="0"/>
        <w:spacing w:after="0" w:line="240" w:lineRule="auto"/>
        <w:ind w:left="501"/>
        <w:jc w:val="left"/>
        <w:rPr>
          <w:rFonts w:asciiTheme="minorHAnsi" w:eastAsiaTheme="minorHAnsi" w:hAnsiTheme="minorHAnsi" w:cstheme="minorBidi"/>
          <w:color w:val="000000" w:themeColor="text1"/>
          <w:sz w:val="22"/>
          <w:szCs w:val="22"/>
          <w:lang w:val="en-NZ"/>
        </w:rPr>
      </w:pPr>
      <w:r>
        <w:rPr>
          <w:rFonts w:asciiTheme="minorHAnsi" w:hAnsiTheme="minorHAnsi"/>
          <w:color w:val="000000" w:themeColor="text1"/>
          <w:sz w:val="22"/>
          <w:szCs w:val="22"/>
        </w:rPr>
        <w:t xml:space="preserve">Proposed Plan Change </w:t>
      </w:r>
      <w:r w:rsidR="009B3E79">
        <w:rPr>
          <w:rFonts w:asciiTheme="minorHAnsi" w:hAnsiTheme="minorHAnsi"/>
          <w:color w:val="000000" w:themeColor="text1"/>
          <w:sz w:val="22"/>
          <w:szCs w:val="22"/>
        </w:rPr>
        <w:t xml:space="preserve">10 </w:t>
      </w:r>
      <w:r>
        <w:rPr>
          <w:rFonts w:asciiTheme="minorHAnsi" w:hAnsiTheme="minorHAnsi"/>
          <w:color w:val="000000" w:themeColor="text1"/>
          <w:sz w:val="22"/>
          <w:szCs w:val="22"/>
        </w:rPr>
        <w:t xml:space="preserve">enables the </w:t>
      </w:r>
      <w:r w:rsidR="00497D83">
        <w:rPr>
          <w:rFonts w:asciiTheme="minorHAnsi" w:hAnsiTheme="minorHAnsi"/>
          <w:color w:val="000000" w:themeColor="text1"/>
          <w:sz w:val="22"/>
          <w:szCs w:val="22"/>
        </w:rPr>
        <w:t xml:space="preserve">pastoral </w:t>
      </w:r>
      <w:r w:rsidR="00497D83" w:rsidRPr="00497D83">
        <w:rPr>
          <w:rFonts w:asciiTheme="minorHAnsi" w:hAnsiTheme="minorHAnsi"/>
          <w:color w:val="000000" w:themeColor="text1"/>
          <w:sz w:val="22"/>
          <w:szCs w:val="22"/>
        </w:rPr>
        <w:t xml:space="preserve">farming community to provide for their economic and social well-being but </w:t>
      </w:r>
      <w:r w:rsidR="00492324">
        <w:rPr>
          <w:rFonts w:asciiTheme="minorHAnsi" w:hAnsiTheme="minorHAnsi"/>
          <w:color w:val="000000" w:themeColor="text1"/>
          <w:sz w:val="22"/>
          <w:szCs w:val="22"/>
        </w:rPr>
        <w:t xml:space="preserve">constrains </w:t>
      </w:r>
      <w:r w:rsidR="00C61C1D">
        <w:rPr>
          <w:rFonts w:asciiTheme="minorHAnsi" w:hAnsiTheme="minorHAnsi"/>
          <w:color w:val="000000" w:themeColor="text1"/>
          <w:sz w:val="22"/>
          <w:szCs w:val="22"/>
        </w:rPr>
        <w:t xml:space="preserve">other land users </w:t>
      </w:r>
      <w:r w:rsidR="00492324">
        <w:rPr>
          <w:rFonts w:asciiTheme="minorHAnsi" w:hAnsiTheme="minorHAnsi"/>
          <w:color w:val="000000" w:themeColor="text1"/>
          <w:sz w:val="22"/>
          <w:szCs w:val="22"/>
        </w:rPr>
        <w:t xml:space="preserve">from doing </w:t>
      </w:r>
      <w:r w:rsidR="009B3E79">
        <w:rPr>
          <w:rFonts w:asciiTheme="minorHAnsi" w:hAnsiTheme="minorHAnsi"/>
          <w:color w:val="000000" w:themeColor="text1"/>
          <w:sz w:val="22"/>
          <w:szCs w:val="22"/>
        </w:rPr>
        <w:t>the same</w:t>
      </w:r>
      <w:r w:rsidR="00C61C1D">
        <w:rPr>
          <w:rFonts w:asciiTheme="minorHAnsi" w:hAnsiTheme="minorHAnsi"/>
          <w:color w:val="000000" w:themeColor="text1"/>
          <w:sz w:val="22"/>
          <w:szCs w:val="22"/>
        </w:rPr>
        <w:t xml:space="preserve">.  </w:t>
      </w:r>
      <w:r w:rsidR="00492324">
        <w:rPr>
          <w:rFonts w:asciiTheme="minorHAnsi" w:hAnsiTheme="minorHAnsi"/>
          <w:color w:val="000000" w:themeColor="text1"/>
          <w:sz w:val="22"/>
          <w:szCs w:val="22"/>
        </w:rPr>
        <w:t>Land</w:t>
      </w:r>
      <w:r w:rsidR="00492324">
        <w:rPr>
          <w:rFonts w:asciiTheme="minorHAnsi" w:eastAsiaTheme="minorHAnsi" w:hAnsiTheme="minorHAnsi" w:cstheme="minorBidi"/>
          <w:color w:val="000000" w:themeColor="text1"/>
          <w:sz w:val="22"/>
          <w:szCs w:val="22"/>
          <w:lang w:val="en-NZ"/>
        </w:rPr>
        <w:t xml:space="preserve"> </w:t>
      </w:r>
      <w:r w:rsidR="006B5AEA" w:rsidRPr="00C61C1D">
        <w:rPr>
          <w:rFonts w:asciiTheme="minorHAnsi" w:eastAsiaTheme="minorHAnsi" w:hAnsiTheme="minorHAnsi" w:cstheme="minorBidi"/>
          <w:color w:val="000000" w:themeColor="text1"/>
          <w:sz w:val="22"/>
          <w:szCs w:val="22"/>
          <w:lang w:val="en-NZ"/>
        </w:rPr>
        <w:t>used for pastoral agriculture</w:t>
      </w:r>
      <w:r w:rsidR="00907364" w:rsidRPr="00C61C1D">
        <w:rPr>
          <w:rFonts w:asciiTheme="minorHAnsi" w:eastAsiaTheme="minorHAnsi" w:hAnsiTheme="minorHAnsi" w:cstheme="minorBidi"/>
          <w:color w:val="000000" w:themeColor="text1"/>
          <w:sz w:val="22"/>
          <w:szCs w:val="22"/>
          <w:lang w:val="en-NZ"/>
        </w:rPr>
        <w:t xml:space="preserve">, identified as the most significant source of nitrogen leaching, is </w:t>
      </w:r>
      <w:r w:rsidR="0083059F" w:rsidRPr="00C61C1D">
        <w:rPr>
          <w:rFonts w:asciiTheme="minorHAnsi" w:eastAsiaTheme="minorHAnsi" w:hAnsiTheme="minorHAnsi" w:cstheme="minorBidi"/>
          <w:color w:val="000000" w:themeColor="text1"/>
          <w:sz w:val="22"/>
          <w:szCs w:val="22"/>
          <w:lang w:val="en-NZ"/>
        </w:rPr>
        <w:t>provided with a</w:t>
      </w:r>
      <w:r w:rsidR="006B5AEA" w:rsidRPr="00C61C1D">
        <w:rPr>
          <w:rFonts w:asciiTheme="minorHAnsi" w:eastAsiaTheme="minorHAnsi" w:hAnsiTheme="minorHAnsi" w:cstheme="minorBidi"/>
          <w:color w:val="000000" w:themeColor="text1"/>
          <w:sz w:val="22"/>
          <w:szCs w:val="22"/>
          <w:lang w:val="en-NZ"/>
        </w:rPr>
        <w:t>n</w:t>
      </w:r>
      <w:r w:rsidR="0083059F" w:rsidRPr="00C61C1D">
        <w:rPr>
          <w:rFonts w:asciiTheme="minorHAnsi" w:eastAsiaTheme="minorHAnsi" w:hAnsiTheme="minorHAnsi" w:cstheme="minorBidi"/>
          <w:color w:val="000000" w:themeColor="text1"/>
          <w:sz w:val="22"/>
          <w:szCs w:val="22"/>
          <w:lang w:val="en-NZ"/>
        </w:rPr>
        <w:t xml:space="preserve"> allocation of nitrogen</w:t>
      </w:r>
      <w:r w:rsidR="00907364" w:rsidRPr="00C61C1D">
        <w:rPr>
          <w:rFonts w:asciiTheme="minorHAnsi" w:eastAsiaTheme="minorHAnsi" w:hAnsiTheme="minorHAnsi" w:cstheme="minorBidi"/>
          <w:color w:val="000000" w:themeColor="text1"/>
          <w:sz w:val="22"/>
          <w:szCs w:val="22"/>
          <w:lang w:val="en-NZ"/>
        </w:rPr>
        <w:t xml:space="preserve"> at the same </w:t>
      </w:r>
      <w:r w:rsidR="00492324">
        <w:rPr>
          <w:rFonts w:asciiTheme="minorHAnsi" w:eastAsiaTheme="minorHAnsi" w:hAnsiTheme="minorHAnsi" w:cstheme="minorBidi"/>
          <w:color w:val="000000" w:themeColor="text1"/>
          <w:sz w:val="22"/>
          <w:szCs w:val="22"/>
          <w:lang w:val="en-NZ"/>
        </w:rPr>
        <w:t xml:space="preserve">or greater levels </w:t>
      </w:r>
      <w:r w:rsidR="00907364" w:rsidRPr="00C61C1D">
        <w:rPr>
          <w:rFonts w:asciiTheme="minorHAnsi" w:eastAsiaTheme="minorHAnsi" w:hAnsiTheme="minorHAnsi" w:cstheme="minorBidi"/>
          <w:color w:val="000000" w:themeColor="text1"/>
          <w:sz w:val="22"/>
          <w:szCs w:val="22"/>
          <w:lang w:val="en-NZ"/>
        </w:rPr>
        <w:t xml:space="preserve">per hectare </w:t>
      </w:r>
      <w:r w:rsidR="009B3E79">
        <w:rPr>
          <w:rFonts w:asciiTheme="minorHAnsi" w:eastAsiaTheme="minorHAnsi" w:hAnsiTheme="minorHAnsi" w:cstheme="minorBidi"/>
          <w:color w:val="000000" w:themeColor="text1"/>
          <w:sz w:val="22"/>
          <w:szCs w:val="22"/>
          <w:lang w:val="en-NZ"/>
        </w:rPr>
        <w:t>than</w:t>
      </w:r>
      <w:r w:rsidR="00907364" w:rsidRPr="00C61C1D">
        <w:rPr>
          <w:rFonts w:asciiTheme="minorHAnsi" w:eastAsiaTheme="minorHAnsi" w:hAnsiTheme="minorHAnsi" w:cstheme="minorBidi"/>
          <w:color w:val="000000" w:themeColor="text1"/>
          <w:sz w:val="22"/>
          <w:szCs w:val="22"/>
          <w:lang w:val="en-NZ"/>
        </w:rPr>
        <w:t xml:space="preserve"> </w:t>
      </w:r>
      <w:r w:rsidR="00492324">
        <w:rPr>
          <w:rFonts w:asciiTheme="minorHAnsi" w:eastAsiaTheme="minorHAnsi" w:hAnsiTheme="minorHAnsi" w:cstheme="minorBidi"/>
          <w:color w:val="000000" w:themeColor="text1"/>
          <w:sz w:val="22"/>
          <w:szCs w:val="22"/>
          <w:lang w:val="en-NZ"/>
        </w:rPr>
        <w:t xml:space="preserve">it had </w:t>
      </w:r>
      <w:r w:rsidR="00907364" w:rsidRPr="00C61C1D">
        <w:rPr>
          <w:rFonts w:asciiTheme="minorHAnsi" w:eastAsiaTheme="minorHAnsi" w:hAnsiTheme="minorHAnsi" w:cstheme="minorBidi"/>
          <w:color w:val="000000" w:themeColor="text1"/>
          <w:sz w:val="22"/>
          <w:szCs w:val="22"/>
          <w:lang w:val="en-NZ"/>
        </w:rPr>
        <w:t>over the period 2001 to 2004</w:t>
      </w:r>
      <w:r w:rsidR="0083059F" w:rsidRPr="00C61C1D">
        <w:rPr>
          <w:rFonts w:asciiTheme="minorHAnsi" w:eastAsiaTheme="minorHAnsi" w:hAnsiTheme="minorHAnsi" w:cstheme="minorBidi"/>
          <w:color w:val="000000" w:themeColor="text1"/>
          <w:sz w:val="22"/>
          <w:szCs w:val="22"/>
          <w:lang w:val="en-NZ"/>
        </w:rPr>
        <w:t xml:space="preserve">, from which to start a </w:t>
      </w:r>
      <w:r w:rsidR="00907364" w:rsidRPr="00C61C1D">
        <w:rPr>
          <w:rFonts w:asciiTheme="minorHAnsi" w:eastAsiaTheme="minorHAnsi" w:hAnsiTheme="minorHAnsi" w:cstheme="minorBidi"/>
          <w:color w:val="000000" w:themeColor="text1"/>
          <w:sz w:val="22"/>
          <w:szCs w:val="22"/>
          <w:lang w:val="en-NZ"/>
        </w:rPr>
        <w:t xml:space="preserve">reduction </w:t>
      </w:r>
      <w:r w:rsidR="0083059F" w:rsidRPr="00C61C1D">
        <w:rPr>
          <w:rFonts w:asciiTheme="minorHAnsi" w:eastAsiaTheme="minorHAnsi" w:hAnsiTheme="minorHAnsi" w:cstheme="minorBidi"/>
          <w:color w:val="000000" w:themeColor="text1"/>
          <w:sz w:val="22"/>
          <w:szCs w:val="22"/>
          <w:lang w:val="en-NZ"/>
        </w:rPr>
        <w:t xml:space="preserve">process.  </w:t>
      </w:r>
      <w:r w:rsidR="006B5AEA" w:rsidRPr="00C61C1D">
        <w:rPr>
          <w:rFonts w:asciiTheme="minorHAnsi" w:eastAsiaTheme="minorHAnsi" w:hAnsiTheme="minorHAnsi" w:cstheme="minorBidi"/>
          <w:color w:val="000000" w:themeColor="text1"/>
          <w:sz w:val="22"/>
          <w:szCs w:val="22"/>
          <w:lang w:val="en-NZ"/>
        </w:rPr>
        <w:t xml:space="preserve"> </w:t>
      </w:r>
      <w:r w:rsidR="003855E2">
        <w:rPr>
          <w:rFonts w:asciiTheme="minorHAnsi" w:eastAsiaTheme="minorHAnsi" w:hAnsiTheme="minorHAnsi" w:cstheme="minorBidi"/>
          <w:color w:val="000000" w:themeColor="text1"/>
          <w:sz w:val="22"/>
          <w:szCs w:val="22"/>
          <w:lang w:val="en-NZ"/>
        </w:rPr>
        <w:t>Thus t</w:t>
      </w:r>
      <w:r w:rsidR="003855E2" w:rsidRPr="003855E2">
        <w:rPr>
          <w:rFonts w:asciiTheme="minorHAnsi" w:eastAsiaTheme="minorHAnsi" w:hAnsiTheme="minorHAnsi" w:cstheme="minorBidi"/>
          <w:color w:val="000000" w:themeColor="text1"/>
          <w:sz w:val="22"/>
          <w:szCs w:val="22"/>
          <w:lang w:val="en-NZ"/>
        </w:rPr>
        <w:t>hose activities which create significant nitrogen externalities can choose to continue to avoid paying for those externalities by either continuing their activity or by choosing to have those pollution credits bought out.</w:t>
      </w:r>
      <w:r w:rsidR="003855E2">
        <w:t xml:space="preserve">  </w:t>
      </w:r>
      <w:r w:rsidR="0083059F" w:rsidRPr="00C61C1D">
        <w:rPr>
          <w:rFonts w:asciiTheme="minorHAnsi" w:eastAsiaTheme="minorHAnsi" w:hAnsiTheme="minorHAnsi" w:cstheme="minorBidi"/>
          <w:color w:val="000000" w:themeColor="text1"/>
          <w:sz w:val="22"/>
          <w:szCs w:val="22"/>
          <w:lang w:val="en-NZ"/>
        </w:rPr>
        <w:t>T</w:t>
      </w:r>
      <w:r w:rsidR="00907364" w:rsidRPr="00C61C1D">
        <w:rPr>
          <w:rFonts w:asciiTheme="minorHAnsi" w:eastAsiaTheme="minorHAnsi" w:hAnsiTheme="minorHAnsi" w:cstheme="minorBidi"/>
          <w:color w:val="000000" w:themeColor="text1"/>
          <w:sz w:val="22"/>
          <w:szCs w:val="22"/>
          <w:lang w:val="en-NZ"/>
        </w:rPr>
        <w:t xml:space="preserve">hose </w:t>
      </w:r>
      <w:r w:rsidR="006B5AEA" w:rsidRPr="00C61C1D">
        <w:rPr>
          <w:rFonts w:asciiTheme="minorHAnsi" w:eastAsiaTheme="minorHAnsi" w:hAnsiTheme="minorHAnsi" w:cstheme="minorBidi"/>
          <w:color w:val="000000" w:themeColor="text1"/>
          <w:sz w:val="22"/>
          <w:szCs w:val="22"/>
          <w:lang w:val="en-NZ"/>
        </w:rPr>
        <w:t xml:space="preserve">land users </w:t>
      </w:r>
      <w:r w:rsidR="00907364" w:rsidRPr="00C61C1D">
        <w:rPr>
          <w:rFonts w:asciiTheme="minorHAnsi" w:eastAsiaTheme="minorHAnsi" w:hAnsiTheme="minorHAnsi" w:cstheme="minorBidi"/>
          <w:color w:val="000000" w:themeColor="text1"/>
          <w:sz w:val="22"/>
          <w:szCs w:val="22"/>
          <w:lang w:val="en-NZ"/>
        </w:rPr>
        <w:t xml:space="preserve">who </w:t>
      </w:r>
      <w:r w:rsidR="00492324">
        <w:rPr>
          <w:rFonts w:asciiTheme="minorHAnsi" w:eastAsiaTheme="minorHAnsi" w:hAnsiTheme="minorHAnsi" w:cstheme="minorBidi"/>
          <w:color w:val="000000" w:themeColor="text1"/>
          <w:sz w:val="22"/>
          <w:szCs w:val="22"/>
          <w:lang w:val="en-NZ"/>
        </w:rPr>
        <w:t xml:space="preserve">may want to modify presently </w:t>
      </w:r>
      <w:r w:rsidR="009B3E79">
        <w:rPr>
          <w:rFonts w:asciiTheme="minorHAnsi" w:eastAsiaTheme="minorHAnsi" w:hAnsiTheme="minorHAnsi" w:cstheme="minorBidi"/>
          <w:color w:val="000000" w:themeColor="text1"/>
          <w:sz w:val="22"/>
          <w:szCs w:val="22"/>
          <w:lang w:val="en-NZ"/>
        </w:rPr>
        <w:t xml:space="preserve">extremely </w:t>
      </w:r>
      <w:r w:rsidR="00492324">
        <w:rPr>
          <w:rFonts w:asciiTheme="minorHAnsi" w:eastAsiaTheme="minorHAnsi" w:hAnsiTheme="minorHAnsi" w:cstheme="minorBidi"/>
          <w:color w:val="000000" w:themeColor="text1"/>
          <w:sz w:val="22"/>
          <w:szCs w:val="22"/>
          <w:lang w:val="en-NZ"/>
        </w:rPr>
        <w:t xml:space="preserve">low leaching activities to become very low leaching activities </w:t>
      </w:r>
      <w:r w:rsidR="00907364" w:rsidRPr="00C61C1D">
        <w:rPr>
          <w:rFonts w:asciiTheme="minorHAnsi" w:eastAsiaTheme="minorHAnsi" w:hAnsiTheme="minorHAnsi" w:cstheme="minorBidi"/>
          <w:color w:val="000000" w:themeColor="text1"/>
          <w:sz w:val="22"/>
          <w:szCs w:val="22"/>
          <w:lang w:val="en-NZ"/>
        </w:rPr>
        <w:t xml:space="preserve">lose the opportunity to do </w:t>
      </w:r>
      <w:r w:rsidR="00A47671" w:rsidRPr="00C61C1D">
        <w:rPr>
          <w:rFonts w:asciiTheme="minorHAnsi" w:eastAsiaTheme="minorHAnsi" w:hAnsiTheme="minorHAnsi" w:cstheme="minorBidi"/>
          <w:color w:val="000000" w:themeColor="text1"/>
          <w:sz w:val="22"/>
          <w:szCs w:val="22"/>
          <w:lang w:val="en-NZ"/>
        </w:rPr>
        <w:t>so</w:t>
      </w:r>
      <w:r w:rsidR="00907364" w:rsidRPr="00C61C1D">
        <w:rPr>
          <w:rFonts w:asciiTheme="minorHAnsi" w:eastAsiaTheme="minorHAnsi" w:hAnsiTheme="minorHAnsi" w:cstheme="minorBidi"/>
          <w:color w:val="000000" w:themeColor="text1"/>
          <w:sz w:val="22"/>
          <w:szCs w:val="22"/>
          <w:lang w:val="en-NZ"/>
        </w:rPr>
        <w:t xml:space="preserve">, </w:t>
      </w:r>
      <w:r w:rsidR="00907364" w:rsidRPr="009B3E79">
        <w:rPr>
          <w:rFonts w:asciiTheme="minorHAnsi" w:eastAsiaTheme="minorHAnsi" w:hAnsiTheme="minorHAnsi" w:cstheme="minorBidi"/>
          <w:color w:val="000000" w:themeColor="text1"/>
          <w:sz w:val="22"/>
          <w:szCs w:val="22"/>
          <w:lang w:val="en-NZ"/>
        </w:rPr>
        <w:t xml:space="preserve">and </w:t>
      </w:r>
      <w:r w:rsidR="009B3E79">
        <w:rPr>
          <w:rFonts w:asciiTheme="minorHAnsi" w:eastAsiaTheme="minorHAnsi" w:hAnsiTheme="minorHAnsi" w:cstheme="minorBidi"/>
          <w:color w:val="000000" w:themeColor="text1"/>
          <w:sz w:val="22"/>
          <w:szCs w:val="22"/>
          <w:lang w:val="en-NZ"/>
        </w:rPr>
        <w:t>must</w:t>
      </w:r>
      <w:r w:rsidR="00907364" w:rsidRPr="00C61C1D">
        <w:rPr>
          <w:rFonts w:asciiTheme="minorHAnsi" w:eastAsiaTheme="minorHAnsi" w:hAnsiTheme="minorHAnsi" w:cstheme="minorBidi"/>
          <w:color w:val="000000" w:themeColor="text1"/>
          <w:sz w:val="22"/>
          <w:szCs w:val="22"/>
          <w:lang w:val="en-NZ"/>
        </w:rPr>
        <w:t xml:space="preserve"> contribute to the compensation to be paid to retire </w:t>
      </w:r>
      <w:r w:rsidR="00A47671" w:rsidRPr="00C61C1D">
        <w:rPr>
          <w:rFonts w:asciiTheme="minorHAnsi" w:eastAsiaTheme="minorHAnsi" w:hAnsiTheme="minorHAnsi" w:cstheme="minorBidi"/>
          <w:color w:val="000000" w:themeColor="text1"/>
          <w:sz w:val="22"/>
          <w:szCs w:val="22"/>
          <w:lang w:val="en-NZ"/>
        </w:rPr>
        <w:t>N out of the system</w:t>
      </w:r>
      <w:r w:rsidR="00907364" w:rsidRPr="00C61C1D">
        <w:rPr>
          <w:rFonts w:asciiTheme="minorHAnsi" w:eastAsiaTheme="minorHAnsi" w:hAnsiTheme="minorHAnsi" w:cstheme="minorBidi"/>
          <w:color w:val="000000" w:themeColor="text1"/>
          <w:sz w:val="22"/>
          <w:szCs w:val="22"/>
          <w:lang w:val="en-NZ"/>
        </w:rPr>
        <w:t>.</w:t>
      </w:r>
      <w:r w:rsidR="003855E2">
        <w:rPr>
          <w:rFonts w:asciiTheme="minorHAnsi" w:eastAsiaTheme="minorHAnsi" w:hAnsiTheme="minorHAnsi" w:cstheme="minorBidi"/>
          <w:color w:val="000000" w:themeColor="text1"/>
          <w:sz w:val="22"/>
          <w:szCs w:val="22"/>
          <w:lang w:val="en-NZ"/>
        </w:rPr>
        <w:t xml:space="preserve"> </w:t>
      </w:r>
      <w:r w:rsidR="003855E2" w:rsidRPr="003855E2">
        <w:rPr>
          <w:rFonts w:asciiTheme="minorHAnsi" w:eastAsiaTheme="minorHAnsi" w:hAnsiTheme="minorHAnsi" w:cstheme="minorBidi"/>
          <w:color w:val="000000" w:themeColor="text1"/>
          <w:sz w:val="22"/>
          <w:szCs w:val="22"/>
          <w:lang w:val="en-NZ"/>
        </w:rPr>
        <w:t xml:space="preserve">The Plan Change deprives land users who have not contributed to the adverse effects of the right to alter their </w:t>
      </w:r>
      <w:r w:rsidR="003855E2" w:rsidRPr="003855E2">
        <w:rPr>
          <w:rFonts w:asciiTheme="minorHAnsi" w:eastAsiaTheme="minorHAnsi" w:hAnsiTheme="minorHAnsi" w:cstheme="minorBidi"/>
          <w:color w:val="000000" w:themeColor="text1"/>
          <w:sz w:val="22"/>
          <w:szCs w:val="22"/>
          <w:lang w:val="en-NZ"/>
        </w:rPr>
        <w:lastRenderedPageBreak/>
        <w:t xml:space="preserve">land use.  </w:t>
      </w:r>
      <w:r w:rsidR="00907364" w:rsidRPr="00C61C1D">
        <w:rPr>
          <w:rFonts w:asciiTheme="minorHAnsi" w:eastAsiaTheme="minorHAnsi" w:hAnsiTheme="minorHAnsi" w:cstheme="minorBidi"/>
          <w:color w:val="000000" w:themeColor="text1"/>
          <w:sz w:val="22"/>
          <w:szCs w:val="22"/>
          <w:lang w:val="en-NZ"/>
        </w:rPr>
        <w:t xml:space="preserve">  </w:t>
      </w:r>
      <w:r w:rsidR="009B3E79">
        <w:rPr>
          <w:rFonts w:asciiTheme="minorHAnsi" w:eastAsiaTheme="minorHAnsi" w:hAnsiTheme="minorHAnsi" w:cstheme="minorBidi"/>
          <w:color w:val="000000" w:themeColor="text1"/>
          <w:sz w:val="22"/>
          <w:szCs w:val="22"/>
          <w:lang w:val="en-NZ"/>
        </w:rPr>
        <w:t>S</w:t>
      </w:r>
      <w:r w:rsidR="006B5AEA" w:rsidRPr="00C61C1D">
        <w:rPr>
          <w:rFonts w:asciiTheme="minorHAnsi" w:eastAsiaTheme="minorHAnsi" w:hAnsiTheme="minorHAnsi" w:cstheme="minorBidi"/>
          <w:color w:val="000000" w:themeColor="text1"/>
          <w:sz w:val="22"/>
          <w:szCs w:val="22"/>
          <w:lang w:val="en-NZ"/>
        </w:rPr>
        <w:t xml:space="preserve">ubstantial tangible economic benefits are provided to </w:t>
      </w:r>
      <w:r w:rsidR="00A47671" w:rsidRPr="00C61C1D">
        <w:rPr>
          <w:rFonts w:asciiTheme="minorHAnsi" w:eastAsiaTheme="minorHAnsi" w:hAnsiTheme="minorHAnsi" w:cstheme="minorBidi"/>
          <w:color w:val="000000" w:themeColor="text1"/>
          <w:sz w:val="22"/>
          <w:szCs w:val="22"/>
          <w:lang w:val="en-NZ"/>
        </w:rPr>
        <w:t xml:space="preserve">high-leaching land uses and </w:t>
      </w:r>
      <w:r w:rsidR="00907364" w:rsidRPr="00C61C1D">
        <w:rPr>
          <w:rFonts w:asciiTheme="minorHAnsi" w:eastAsiaTheme="minorHAnsi" w:hAnsiTheme="minorHAnsi" w:cstheme="minorBidi"/>
          <w:color w:val="000000" w:themeColor="text1"/>
          <w:sz w:val="22"/>
          <w:szCs w:val="22"/>
          <w:lang w:val="en-NZ"/>
        </w:rPr>
        <w:t>cost</w:t>
      </w:r>
      <w:r w:rsidR="006B5AEA" w:rsidRPr="00C61C1D">
        <w:rPr>
          <w:rFonts w:asciiTheme="minorHAnsi" w:eastAsiaTheme="minorHAnsi" w:hAnsiTheme="minorHAnsi" w:cstheme="minorBidi"/>
          <w:color w:val="000000" w:themeColor="text1"/>
          <w:sz w:val="22"/>
          <w:szCs w:val="22"/>
          <w:lang w:val="en-NZ"/>
        </w:rPr>
        <w:t>s and constraints are imposed on</w:t>
      </w:r>
      <w:r w:rsidR="00907364" w:rsidRPr="00C61C1D">
        <w:rPr>
          <w:rFonts w:asciiTheme="minorHAnsi" w:eastAsiaTheme="minorHAnsi" w:hAnsiTheme="minorHAnsi" w:cstheme="minorBidi"/>
          <w:color w:val="000000" w:themeColor="text1"/>
          <w:sz w:val="22"/>
          <w:szCs w:val="22"/>
          <w:lang w:val="en-NZ"/>
        </w:rPr>
        <w:t xml:space="preserve"> </w:t>
      </w:r>
      <w:r w:rsidR="00A47671" w:rsidRPr="00C61C1D">
        <w:rPr>
          <w:rFonts w:asciiTheme="minorHAnsi" w:eastAsiaTheme="minorHAnsi" w:hAnsiTheme="minorHAnsi" w:cstheme="minorBidi"/>
          <w:color w:val="000000" w:themeColor="text1"/>
          <w:sz w:val="22"/>
          <w:szCs w:val="22"/>
          <w:lang w:val="en-NZ"/>
        </w:rPr>
        <w:t>low leaching</w:t>
      </w:r>
      <w:r w:rsidR="00907364" w:rsidRPr="00C61C1D">
        <w:rPr>
          <w:rFonts w:asciiTheme="minorHAnsi" w:eastAsiaTheme="minorHAnsi" w:hAnsiTheme="minorHAnsi" w:cstheme="minorBidi"/>
          <w:color w:val="000000" w:themeColor="text1"/>
          <w:sz w:val="22"/>
          <w:szCs w:val="22"/>
          <w:lang w:val="en-NZ"/>
        </w:rPr>
        <w:t xml:space="preserve"> land</w:t>
      </w:r>
      <w:r w:rsidR="009B3E79">
        <w:rPr>
          <w:rFonts w:asciiTheme="minorHAnsi" w:eastAsiaTheme="minorHAnsi" w:hAnsiTheme="minorHAnsi" w:cstheme="minorBidi"/>
          <w:color w:val="000000" w:themeColor="text1"/>
          <w:sz w:val="22"/>
          <w:szCs w:val="22"/>
          <w:lang w:val="en-NZ"/>
        </w:rPr>
        <w:t xml:space="preserve"> users</w:t>
      </w:r>
      <w:r w:rsidR="00907364" w:rsidRPr="00C61C1D">
        <w:rPr>
          <w:rFonts w:asciiTheme="minorHAnsi" w:eastAsiaTheme="minorHAnsi" w:hAnsiTheme="minorHAnsi" w:cstheme="minorBidi"/>
          <w:color w:val="000000" w:themeColor="text1"/>
          <w:sz w:val="22"/>
          <w:szCs w:val="22"/>
          <w:lang w:val="en-NZ"/>
        </w:rPr>
        <w:t xml:space="preserve">.  </w:t>
      </w:r>
    </w:p>
    <w:p w:rsidR="00C94CB0" w:rsidRPr="00880014" w:rsidRDefault="00C94CB0" w:rsidP="00C94CB0">
      <w:pPr>
        <w:pStyle w:val="SP"/>
        <w:spacing w:after="0" w:line="240" w:lineRule="auto"/>
        <w:rPr>
          <w:rFonts w:asciiTheme="minorHAnsi" w:eastAsiaTheme="minorHAnsi" w:hAnsiTheme="minorHAnsi" w:cstheme="minorBidi"/>
          <w:color w:val="000000" w:themeColor="text1"/>
          <w:sz w:val="22"/>
          <w:szCs w:val="22"/>
          <w:lang w:val="en-NZ"/>
        </w:rPr>
      </w:pPr>
    </w:p>
    <w:p w:rsidR="00657448" w:rsidRPr="00880014" w:rsidRDefault="00F571B4" w:rsidP="00880014">
      <w:pPr>
        <w:pStyle w:val="SP"/>
        <w:numPr>
          <w:ilvl w:val="0"/>
          <w:numId w:val="28"/>
        </w:numPr>
        <w:autoSpaceDE w:val="0"/>
        <w:autoSpaceDN w:val="0"/>
        <w:adjustRightInd w:val="0"/>
        <w:spacing w:after="0" w:line="240" w:lineRule="auto"/>
        <w:ind w:left="501"/>
        <w:jc w:val="left"/>
        <w:rPr>
          <w:rFonts w:asciiTheme="minorHAnsi" w:hAnsiTheme="minorHAnsi"/>
          <w:sz w:val="22"/>
          <w:szCs w:val="22"/>
        </w:rPr>
      </w:pPr>
      <w:r w:rsidRPr="00880014">
        <w:rPr>
          <w:rFonts w:asciiTheme="minorHAnsi" w:hAnsiTheme="minorHAnsi"/>
          <w:sz w:val="22"/>
          <w:szCs w:val="22"/>
        </w:rPr>
        <w:t>Providing for the social and economic well-being of one sect</w:t>
      </w:r>
      <w:r w:rsidR="003855E2" w:rsidRPr="00880014">
        <w:rPr>
          <w:rFonts w:asciiTheme="minorHAnsi" w:hAnsiTheme="minorHAnsi"/>
          <w:sz w:val="22"/>
          <w:szCs w:val="22"/>
        </w:rPr>
        <w:t>or</w:t>
      </w:r>
      <w:r w:rsidRPr="00880014">
        <w:rPr>
          <w:rFonts w:asciiTheme="minorHAnsi" w:hAnsiTheme="minorHAnsi"/>
          <w:sz w:val="22"/>
          <w:szCs w:val="22"/>
        </w:rPr>
        <w:t xml:space="preserve"> at the expense of another is not consistent with the purpose of the Act.  </w:t>
      </w:r>
      <w:r w:rsidR="00657448" w:rsidRPr="00880014">
        <w:rPr>
          <w:rFonts w:asciiTheme="minorHAnsi" w:hAnsiTheme="minorHAnsi"/>
          <w:sz w:val="22"/>
          <w:szCs w:val="22"/>
        </w:rPr>
        <w:t xml:space="preserve">It </w:t>
      </w:r>
      <w:r w:rsidR="003855E2" w:rsidRPr="00880014">
        <w:rPr>
          <w:rFonts w:asciiTheme="minorHAnsi" w:hAnsiTheme="minorHAnsi"/>
          <w:sz w:val="22"/>
          <w:szCs w:val="22"/>
        </w:rPr>
        <w:t xml:space="preserve">does </w:t>
      </w:r>
      <w:r w:rsidR="00657448" w:rsidRPr="00880014">
        <w:rPr>
          <w:rFonts w:asciiTheme="minorHAnsi" w:hAnsiTheme="minorHAnsi"/>
          <w:sz w:val="22"/>
          <w:szCs w:val="22"/>
        </w:rPr>
        <w:t xml:space="preserve">not </w:t>
      </w:r>
      <w:r w:rsidR="003855E2" w:rsidRPr="00880014">
        <w:rPr>
          <w:rFonts w:asciiTheme="minorHAnsi" w:hAnsiTheme="minorHAnsi"/>
          <w:sz w:val="22"/>
          <w:szCs w:val="22"/>
        </w:rPr>
        <w:t xml:space="preserve">support </w:t>
      </w:r>
      <w:r w:rsidR="00657448" w:rsidRPr="00880014">
        <w:rPr>
          <w:rFonts w:asciiTheme="minorHAnsi" w:hAnsiTheme="minorHAnsi"/>
          <w:sz w:val="22"/>
          <w:szCs w:val="22"/>
        </w:rPr>
        <w:t>sustainable management of natural and physical resources</w:t>
      </w:r>
      <w:r w:rsidR="00F37E82" w:rsidRPr="00880014">
        <w:rPr>
          <w:rFonts w:asciiTheme="minorHAnsi" w:hAnsiTheme="minorHAnsi"/>
          <w:sz w:val="22"/>
          <w:szCs w:val="22"/>
        </w:rPr>
        <w:t xml:space="preserve"> and it will not lead to </w:t>
      </w:r>
      <w:r w:rsidRPr="00880014">
        <w:rPr>
          <w:rFonts w:asciiTheme="minorHAnsi" w:hAnsiTheme="minorHAnsi"/>
          <w:sz w:val="22"/>
          <w:szCs w:val="22"/>
        </w:rPr>
        <w:t>efficient land use.</w:t>
      </w:r>
      <w:r w:rsidR="00F37E82" w:rsidRPr="00880014">
        <w:rPr>
          <w:rFonts w:asciiTheme="minorHAnsi" w:hAnsiTheme="minorHAnsi"/>
          <w:sz w:val="22"/>
          <w:szCs w:val="22"/>
        </w:rPr>
        <w:t xml:space="preserve">  </w:t>
      </w:r>
    </w:p>
    <w:p w:rsidR="00CC2183" w:rsidRDefault="00CC2183" w:rsidP="00CC2183">
      <w:pPr>
        <w:rPr>
          <w:b/>
          <w:color w:val="7030A0"/>
        </w:rPr>
      </w:pPr>
    </w:p>
    <w:p w:rsidR="00060601" w:rsidRDefault="00060601" w:rsidP="00060601">
      <w:pPr>
        <w:pStyle w:val="Heading3"/>
      </w:pPr>
      <w:bookmarkStart w:id="6" w:name="_Toc476575940"/>
      <w:r>
        <w:t xml:space="preserve">Specifics of </w:t>
      </w:r>
      <w:r w:rsidR="0081259D">
        <w:t xml:space="preserve">the Plan Change 10 </w:t>
      </w:r>
      <w:r>
        <w:t>existing rule framework</w:t>
      </w:r>
      <w:bookmarkEnd w:id="6"/>
    </w:p>
    <w:p w:rsidR="00060601" w:rsidRDefault="002D6B4E" w:rsidP="002D6B4E">
      <w:pPr>
        <w:pStyle w:val="SP"/>
        <w:numPr>
          <w:ilvl w:val="0"/>
          <w:numId w:val="28"/>
        </w:numPr>
        <w:autoSpaceDE w:val="0"/>
        <w:autoSpaceDN w:val="0"/>
        <w:adjustRightInd w:val="0"/>
        <w:spacing w:after="0" w:line="240" w:lineRule="auto"/>
        <w:ind w:left="501"/>
        <w:jc w:val="left"/>
        <w:rPr>
          <w:rFonts w:asciiTheme="minorHAnsi" w:hAnsiTheme="minorHAnsi"/>
          <w:sz w:val="22"/>
          <w:szCs w:val="22"/>
        </w:rPr>
      </w:pPr>
      <w:r w:rsidRPr="002D6B4E">
        <w:rPr>
          <w:rFonts w:asciiTheme="minorHAnsi" w:hAnsiTheme="minorHAnsi"/>
          <w:sz w:val="22"/>
          <w:szCs w:val="22"/>
        </w:rPr>
        <w:t xml:space="preserve">Advice from Council’s planner </w:t>
      </w:r>
      <w:r w:rsidR="0030093A">
        <w:rPr>
          <w:rFonts w:asciiTheme="minorHAnsi" w:hAnsiTheme="minorHAnsi"/>
          <w:sz w:val="22"/>
          <w:szCs w:val="22"/>
        </w:rPr>
        <w:t xml:space="preserve">managing Plan Change 10 </w:t>
      </w:r>
      <w:r w:rsidRPr="002D6B4E">
        <w:rPr>
          <w:rFonts w:asciiTheme="minorHAnsi" w:hAnsiTheme="minorHAnsi"/>
          <w:sz w:val="22"/>
          <w:szCs w:val="22"/>
        </w:rPr>
        <w:t xml:space="preserve">is that the intention </w:t>
      </w:r>
      <w:r w:rsidR="0030093A">
        <w:rPr>
          <w:rFonts w:asciiTheme="minorHAnsi" w:hAnsiTheme="minorHAnsi"/>
          <w:sz w:val="22"/>
          <w:szCs w:val="22"/>
        </w:rPr>
        <w:t xml:space="preserve">for controls on </w:t>
      </w:r>
      <w:r>
        <w:rPr>
          <w:rFonts w:asciiTheme="minorHAnsi" w:hAnsiTheme="minorHAnsi"/>
          <w:sz w:val="22"/>
          <w:szCs w:val="22"/>
        </w:rPr>
        <w:t xml:space="preserve">plantation </w:t>
      </w:r>
      <w:r w:rsidRPr="002D6B4E">
        <w:rPr>
          <w:rFonts w:asciiTheme="minorHAnsi" w:hAnsiTheme="minorHAnsi"/>
          <w:sz w:val="22"/>
          <w:szCs w:val="22"/>
        </w:rPr>
        <w:t>f</w:t>
      </w:r>
      <w:r w:rsidR="00060601" w:rsidRPr="002D6B4E">
        <w:rPr>
          <w:rFonts w:asciiTheme="minorHAnsi" w:hAnsiTheme="minorHAnsi"/>
          <w:sz w:val="22"/>
          <w:szCs w:val="22"/>
        </w:rPr>
        <w:t xml:space="preserve">orest </w:t>
      </w:r>
      <w:r>
        <w:rPr>
          <w:rFonts w:asciiTheme="minorHAnsi" w:hAnsiTheme="minorHAnsi"/>
          <w:sz w:val="22"/>
          <w:szCs w:val="22"/>
        </w:rPr>
        <w:t xml:space="preserve">land use </w:t>
      </w:r>
      <w:r w:rsidR="00060601" w:rsidRPr="002D6B4E">
        <w:rPr>
          <w:rFonts w:asciiTheme="minorHAnsi" w:hAnsiTheme="minorHAnsi"/>
          <w:sz w:val="22"/>
          <w:szCs w:val="22"/>
        </w:rPr>
        <w:t>by PC10 i</w:t>
      </w:r>
      <w:r w:rsidR="0030093A">
        <w:rPr>
          <w:rFonts w:asciiTheme="minorHAnsi" w:hAnsiTheme="minorHAnsi"/>
          <w:sz w:val="22"/>
          <w:szCs w:val="22"/>
        </w:rPr>
        <w:t>s</w:t>
      </w:r>
      <w:r w:rsidR="00060601" w:rsidRPr="002D6B4E">
        <w:rPr>
          <w:rFonts w:asciiTheme="minorHAnsi" w:hAnsiTheme="minorHAnsi"/>
          <w:sz w:val="22"/>
          <w:szCs w:val="22"/>
        </w:rPr>
        <w:t xml:space="preserve"> that any forest must remain as forest</w:t>
      </w:r>
      <w:r w:rsidRPr="002D6B4E">
        <w:rPr>
          <w:rFonts w:asciiTheme="minorHAnsi" w:hAnsiTheme="minorHAnsi"/>
          <w:sz w:val="22"/>
          <w:szCs w:val="22"/>
        </w:rPr>
        <w:t xml:space="preserve">, through Rule </w:t>
      </w:r>
      <w:r w:rsidR="00060601" w:rsidRPr="002D6B4E">
        <w:rPr>
          <w:rFonts w:asciiTheme="minorHAnsi" w:hAnsiTheme="minorHAnsi"/>
          <w:sz w:val="22"/>
          <w:szCs w:val="22"/>
        </w:rPr>
        <w:t>LR</w:t>
      </w:r>
      <w:r w:rsidR="0081259D">
        <w:rPr>
          <w:rFonts w:asciiTheme="minorHAnsi" w:hAnsiTheme="minorHAnsi"/>
          <w:sz w:val="22"/>
          <w:szCs w:val="22"/>
        </w:rPr>
        <w:t xml:space="preserve"> </w:t>
      </w:r>
      <w:r w:rsidR="00060601" w:rsidRPr="002D6B4E">
        <w:rPr>
          <w:rFonts w:asciiTheme="minorHAnsi" w:hAnsiTheme="minorHAnsi"/>
          <w:sz w:val="22"/>
          <w:szCs w:val="22"/>
        </w:rPr>
        <w:t xml:space="preserve">R2. </w:t>
      </w:r>
      <w:r w:rsidRPr="002D6B4E">
        <w:rPr>
          <w:rFonts w:asciiTheme="minorHAnsi" w:hAnsiTheme="minorHAnsi"/>
          <w:sz w:val="22"/>
          <w:szCs w:val="22"/>
        </w:rPr>
        <w:t xml:space="preserve"> </w:t>
      </w:r>
      <w:r w:rsidR="00060601" w:rsidRPr="002D6B4E">
        <w:rPr>
          <w:rFonts w:asciiTheme="minorHAnsi" w:hAnsiTheme="minorHAnsi"/>
          <w:sz w:val="22"/>
          <w:szCs w:val="22"/>
        </w:rPr>
        <w:t xml:space="preserve">The definition of plantation forestry does not restrict the plant species, so a change of </w:t>
      </w:r>
      <w:r w:rsidR="0081259D">
        <w:rPr>
          <w:rFonts w:asciiTheme="minorHAnsi" w:hAnsiTheme="minorHAnsi"/>
          <w:sz w:val="22"/>
          <w:szCs w:val="22"/>
        </w:rPr>
        <w:t xml:space="preserve">tree </w:t>
      </w:r>
      <w:r w:rsidR="00060601" w:rsidRPr="002D6B4E">
        <w:rPr>
          <w:rFonts w:asciiTheme="minorHAnsi" w:hAnsiTheme="minorHAnsi"/>
          <w:sz w:val="22"/>
          <w:szCs w:val="22"/>
        </w:rPr>
        <w:t>species will not need resource consent.</w:t>
      </w:r>
      <w:r w:rsidRPr="002D6B4E">
        <w:rPr>
          <w:rFonts w:asciiTheme="minorHAnsi" w:hAnsiTheme="minorHAnsi"/>
          <w:sz w:val="22"/>
          <w:szCs w:val="22"/>
        </w:rPr>
        <w:t xml:space="preserve">  Council’s planner also advises that there</w:t>
      </w:r>
      <w:r w:rsidR="00060601" w:rsidRPr="002D6B4E">
        <w:rPr>
          <w:rFonts w:asciiTheme="minorHAnsi" w:hAnsiTheme="minorHAnsi"/>
          <w:sz w:val="22"/>
          <w:szCs w:val="22"/>
        </w:rPr>
        <w:t xml:space="preserve"> is no research showing that an increase in inputs (such as fertiliser application) increases </w:t>
      </w:r>
      <w:r w:rsidRPr="002D6B4E">
        <w:rPr>
          <w:rFonts w:asciiTheme="minorHAnsi" w:hAnsiTheme="minorHAnsi"/>
          <w:sz w:val="22"/>
          <w:szCs w:val="22"/>
        </w:rPr>
        <w:t>the forestry loss of about 2.5kgN per hectare</w:t>
      </w:r>
      <w:r w:rsidR="00060601" w:rsidRPr="002D6B4E">
        <w:rPr>
          <w:rFonts w:asciiTheme="minorHAnsi" w:hAnsiTheme="minorHAnsi"/>
          <w:sz w:val="22"/>
          <w:szCs w:val="22"/>
        </w:rPr>
        <w:t xml:space="preserve">.  No trade is </w:t>
      </w:r>
      <w:r w:rsidR="0081259D">
        <w:rPr>
          <w:rFonts w:asciiTheme="minorHAnsi" w:hAnsiTheme="minorHAnsi"/>
          <w:sz w:val="22"/>
          <w:szCs w:val="22"/>
        </w:rPr>
        <w:t xml:space="preserve">therefore </w:t>
      </w:r>
      <w:r w:rsidR="00060601" w:rsidRPr="002D6B4E">
        <w:rPr>
          <w:rFonts w:asciiTheme="minorHAnsi" w:hAnsiTheme="minorHAnsi"/>
          <w:sz w:val="22"/>
          <w:szCs w:val="22"/>
        </w:rPr>
        <w:t xml:space="preserve">required </w:t>
      </w:r>
      <w:r w:rsidR="0081259D">
        <w:rPr>
          <w:rFonts w:asciiTheme="minorHAnsi" w:hAnsiTheme="minorHAnsi"/>
          <w:sz w:val="22"/>
          <w:szCs w:val="22"/>
        </w:rPr>
        <w:t xml:space="preserve">for </w:t>
      </w:r>
      <w:r w:rsidR="00060601" w:rsidRPr="002D6B4E">
        <w:rPr>
          <w:rFonts w:asciiTheme="minorHAnsi" w:hAnsiTheme="minorHAnsi"/>
          <w:sz w:val="22"/>
          <w:szCs w:val="22"/>
        </w:rPr>
        <w:t xml:space="preserve">fertiliser application </w:t>
      </w:r>
      <w:r w:rsidR="0030093A">
        <w:rPr>
          <w:rFonts w:asciiTheme="minorHAnsi" w:hAnsiTheme="minorHAnsi"/>
          <w:sz w:val="22"/>
          <w:szCs w:val="22"/>
        </w:rPr>
        <w:t xml:space="preserve">to trees </w:t>
      </w:r>
      <w:r w:rsidR="00060601" w:rsidRPr="002D6B4E">
        <w:rPr>
          <w:rFonts w:asciiTheme="minorHAnsi" w:hAnsiTheme="minorHAnsi"/>
          <w:sz w:val="22"/>
          <w:szCs w:val="22"/>
        </w:rPr>
        <w:t xml:space="preserve">or change plant species. </w:t>
      </w:r>
    </w:p>
    <w:p w:rsidR="005F1872" w:rsidRDefault="005F1872" w:rsidP="005F1872">
      <w:pPr>
        <w:pStyle w:val="SP"/>
        <w:autoSpaceDE w:val="0"/>
        <w:autoSpaceDN w:val="0"/>
        <w:adjustRightInd w:val="0"/>
        <w:spacing w:after="0" w:line="240" w:lineRule="auto"/>
        <w:jc w:val="left"/>
        <w:rPr>
          <w:rFonts w:asciiTheme="minorHAnsi" w:hAnsiTheme="minorHAnsi"/>
          <w:sz w:val="22"/>
          <w:szCs w:val="22"/>
        </w:rPr>
      </w:pPr>
    </w:p>
    <w:p w:rsidR="004C4917" w:rsidRDefault="005F1872" w:rsidP="005F1872">
      <w:pPr>
        <w:pStyle w:val="SP"/>
        <w:numPr>
          <w:ilvl w:val="0"/>
          <w:numId w:val="28"/>
        </w:numPr>
        <w:autoSpaceDE w:val="0"/>
        <w:autoSpaceDN w:val="0"/>
        <w:adjustRightInd w:val="0"/>
        <w:spacing w:after="0" w:line="240" w:lineRule="auto"/>
        <w:ind w:left="501"/>
        <w:jc w:val="left"/>
        <w:rPr>
          <w:rFonts w:asciiTheme="minorHAnsi" w:hAnsiTheme="minorHAnsi"/>
          <w:sz w:val="22"/>
          <w:szCs w:val="22"/>
        </w:rPr>
      </w:pPr>
      <w:r>
        <w:rPr>
          <w:rFonts w:asciiTheme="minorHAnsi" w:hAnsiTheme="minorHAnsi"/>
          <w:sz w:val="22"/>
          <w:szCs w:val="22"/>
        </w:rPr>
        <w:t xml:space="preserve">The </w:t>
      </w:r>
      <w:r w:rsidR="004C4917">
        <w:rPr>
          <w:rFonts w:asciiTheme="minorHAnsi" w:hAnsiTheme="minorHAnsi"/>
          <w:sz w:val="22"/>
          <w:szCs w:val="22"/>
        </w:rPr>
        <w:t>Plan Change</w:t>
      </w:r>
      <w:r>
        <w:rPr>
          <w:rFonts w:asciiTheme="minorHAnsi" w:hAnsiTheme="minorHAnsi"/>
          <w:sz w:val="22"/>
          <w:szCs w:val="22"/>
        </w:rPr>
        <w:t xml:space="preserve"> does not appear to have contemplated for </w:t>
      </w:r>
      <w:r w:rsidR="004C4917">
        <w:rPr>
          <w:rFonts w:asciiTheme="minorHAnsi" w:hAnsiTheme="minorHAnsi"/>
          <w:sz w:val="22"/>
          <w:szCs w:val="22"/>
        </w:rPr>
        <w:t xml:space="preserve">transition to </w:t>
      </w:r>
      <w:r>
        <w:rPr>
          <w:rFonts w:asciiTheme="minorHAnsi" w:hAnsiTheme="minorHAnsi"/>
          <w:sz w:val="22"/>
          <w:szCs w:val="22"/>
        </w:rPr>
        <w:t>land uses that are not farming animals and are not plantation forestry</w:t>
      </w:r>
      <w:r w:rsidR="004C4917">
        <w:rPr>
          <w:rFonts w:asciiTheme="minorHAnsi" w:hAnsiTheme="minorHAnsi"/>
          <w:sz w:val="22"/>
          <w:szCs w:val="22"/>
        </w:rPr>
        <w:t>.  No pathway for such activities is evident</w:t>
      </w:r>
      <w:r>
        <w:rPr>
          <w:rFonts w:asciiTheme="minorHAnsi" w:hAnsiTheme="minorHAnsi"/>
          <w:sz w:val="22"/>
          <w:szCs w:val="22"/>
        </w:rPr>
        <w:t xml:space="preserve">. These would include orchard, horticulture or nursery operations.  </w:t>
      </w:r>
    </w:p>
    <w:p w:rsidR="004C4917" w:rsidRDefault="004C4917" w:rsidP="004C4917">
      <w:pPr>
        <w:pStyle w:val="SP"/>
        <w:autoSpaceDE w:val="0"/>
        <w:autoSpaceDN w:val="0"/>
        <w:adjustRightInd w:val="0"/>
        <w:spacing w:after="0" w:line="240" w:lineRule="auto"/>
        <w:ind w:left="501" w:firstLine="0"/>
        <w:jc w:val="left"/>
        <w:rPr>
          <w:rFonts w:asciiTheme="minorHAnsi" w:hAnsiTheme="minorHAnsi"/>
          <w:sz w:val="22"/>
          <w:szCs w:val="22"/>
        </w:rPr>
      </w:pPr>
    </w:p>
    <w:p w:rsidR="00060601" w:rsidRDefault="004C4917" w:rsidP="00847EE8">
      <w:pPr>
        <w:pStyle w:val="SP"/>
        <w:numPr>
          <w:ilvl w:val="0"/>
          <w:numId w:val="28"/>
        </w:numPr>
        <w:autoSpaceDE w:val="0"/>
        <w:autoSpaceDN w:val="0"/>
        <w:adjustRightInd w:val="0"/>
        <w:spacing w:after="0" w:line="240" w:lineRule="auto"/>
        <w:ind w:left="501"/>
        <w:jc w:val="left"/>
      </w:pPr>
      <w:r>
        <w:rPr>
          <w:rFonts w:asciiTheme="minorHAnsi" w:hAnsiTheme="minorHAnsi"/>
          <w:sz w:val="22"/>
          <w:szCs w:val="22"/>
        </w:rPr>
        <w:t xml:space="preserve">The Plan Change does provide for present uses that are not readily accommodated in the Overseer framework.  </w:t>
      </w:r>
      <w:r w:rsidR="005F1872">
        <w:rPr>
          <w:rFonts w:asciiTheme="minorHAnsi" w:hAnsiTheme="minorHAnsi"/>
          <w:sz w:val="22"/>
          <w:szCs w:val="22"/>
        </w:rPr>
        <w:t>Timberlands has a</w:t>
      </w:r>
      <w:r>
        <w:rPr>
          <w:rFonts w:asciiTheme="minorHAnsi" w:hAnsiTheme="minorHAnsi"/>
          <w:sz w:val="22"/>
          <w:szCs w:val="22"/>
        </w:rPr>
        <w:t>n</w:t>
      </w:r>
      <w:r w:rsidR="005F1872">
        <w:rPr>
          <w:rFonts w:asciiTheme="minorHAnsi" w:hAnsiTheme="minorHAnsi"/>
          <w:sz w:val="22"/>
          <w:szCs w:val="22"/>
        </w:rPr>
        <w:t xml:space="preserve"> 80Ha </w:t>
      </w:r>
      <w:r>
        <w:rPr>
          <w:rFonts w:asciiTheme="minorHAnsi" w:hAnsiTheme="minorHAnsi"/>
          <w:sz w:val="22"/>
          <w:szCs w:val="22"/>
        </w:rPr>
        <w:t xml:space="preserve">pine tree </w:t>
      </w:r>
      <w:r w:rsidR="005F1872">
        <w:rPr>
          <w:rFonts w:asciiTheme="minorHAnsi" w:hAnsiTheme="minorHAnsi"/>
          <w:sz w:val="22"/>
          <w:szCs w:val="22"/>
        </w:rPr>
        <w:t>nursery</w:t>
      </w:r>
      <w:r>
        <w:rPr>
          <w:rFonts w:asciiTheme="minorHAnsi" w:hAnsiTheme="minorHAnsi"/>
          <w:sz w:val="22"/>
          <w:szCs w:val="22"/>
        </w:rPr>
        <w:t>,</w:t>
      </w:r>
      <w:r w:rsidR="005F1872">
        <w:rPr>
          <w:rFonts w:asciiTheme="minorHAnsi" w:hAnsiTheme="minorHAnsi"/>
          <w:sz w:val="22"/>
          <w:szCs w:val="22"/>
        </w:rPr>
        <w:t xml:space="preserve"> for which it will be </w:t>
      </w:r>
      <w:r>
        <w:rPr>
          <w:rFonts w:asciiTheme="minorHAnsi" w:hAnsiTheme="minorHAnsi"/>
          <w:sz w:val="22"/>
          <w:szCs w:val="22"/>
        </w:rPr>
        <w:t xml:space="preserve">using rule LR R11 “the use of land for farming activities on properties/farming enterprises that cannot be modelled by Overseer” to characterise nitrogen losses.  It is not clear how the use of </w:t>
      </w:r>
      <w:r w:rsidR="00BF7EED">
        <w:rPr>
          <w:rFonts w:asciiTheme="minorHAnsi" w:hAnsiTheme="minorHAnsi"/>
          <w:sz w:val="22"/>
          <w:szCs w:val="22"/>
        </w:rPr>
        <w:t>an alternative model will integrate with Overseer estimations for other land uses or whether the level of accuracy can be the same as Overseer outputs.</w:t>
      </w:r>
    </w:p>
    <w:p w:rsidR="00F82765" w:rsidRPr="00DF0E62" w:rsidRDefault="00EE1F27" w:rsidP="00DF0E62">
      <w:pPr>
        <w:pStyle w:val="Heading1"/>
        <w:rPr>
          <w:rFonts w:asciiTheme="minorHAnsi" w:hAnsiTheme="minorHAnsi"/>
          <w:b/>
          <w:sz w:val="28"/>
          <w:szCs w:val="28"/>
        </w:rPr>
      </w:pPr>
      <w:bookmarkStart w:id="7" w:name="_Toc476575941"/>
      <w:r>
        <w:rPr>
          <w:rFonts w:asciiTheme="minorHAnsi" w:hAnsiTheme="minorHAnsi"/>
          <w:b/>
          <w:sz w:val="28"/>
          <w:szCs w:val="28"/>
        </w:rPr>
        <w:t xml:space="preserve">Use of </w:t>
      </w:r>
      <w:r w:rsidR="00D36B92">
        <w:rPr>
          <w:rFonts w:asciiTheme="minorHAnsi" w:hAnsiTheme="minorHAnsi"/>
          <w:b/>
          <w:sz w:val="28"/>
          <w:szCs w:val="28"/>
        </w:rPr>
        <w:t xml:space="preserve">the </w:t>
      </w:r>
      <w:r>
        <w:rPr>
          <w:rFonts w:asciiTheme="minorHAnsi" w:hAnsiTheme="minorHAnsi"/>
          <w:b/>
          <w:sz w:val="28"/>
          <w:szCs w:val="28"/>
        </w:rPr>
        <w:t xml:space="preserve">Overseer </w:t>
      </w:r>
      <w:r w:rsidR="00D36B92">
        <w:rPr>
          <w:rFonts w:asciiTheme="minorHAnsi" w:hAnsiTheme="minorHAnsi"/>
          <w:b/>
          <w:sz w:val="28"/>
          <w:szCs w:val="28"/>
        </w:rPr>
        <w:t>model</w:t>
      </w:r>
      <w:bookmarkEnd w:id="7"/>
    </w:p>
    <w:p w:rsidR="00DD6742" w:rsidRDefault="00DD6742" w:rsidP="001417AA"/>
    <w:p w:rsidR="00293258" w:rsidRDefault="001C07C0" w:rsidP="00F8173A">
      <w:pPr>
        <w:pStyle w:val="ListParagraph"/>
        <w:numPr>
          <w:ilvl w:val="0"/>
          <w:numId w:val="28"/>
        </w:numPr>
      </w:pPr>
      <w:r>
        <w:t>“Overseer”</w:t>
      </w:r>
      <w:r w:rsidR="002C4E85">
        <w:t xml:space="preserve"> is the key model for determining ni</w:t>
      </w:r>
      <w:r w:rsidR="00D36B92">
        <w:t>trogen outputs per farm, which are</w:t>
      </w:r>
      <w:r w:rsidR="002C4E85">
        <w:t xml:space="preserve"> required for the allocation process to work. </w:t>
      </w:r>
      <w:r w:rsidR="00D36B92">
        <w:t xml:space="preserve"> I</w:t>
      </w:r>
      <w:r w:rsidR="003855E2">
        <w:t xml:space="preserve">t is not </w:t>
      </w:r>
      <w:r w:rsidR="0095627E">
        <w:t>fit for th</w:t>
      </w:r>
      <w:r w:rsidR="00EA2E86">
        <w:t xml:space="preserve">is </w:t>
      </w:r>
      <w:r w:rsidR="0095627E">
        <w:t>purpose</w:t>
      </w:r>
      <w:r w:rsidR="00D36B92">
        <w:t xml:space="preserve"> for several reasons.  Firstly</w:t>
      </w:r>
      <w:r w:rsidR="00EA2E86">
        <w:t xml:space="preserve"> because the model </w:t>
      </w:r>
      <w:r w:rsidR="0095627E">
        <w:t xml:space="preserve">design </w:t>
      </w:r>
      <w:r w:rsidR="00EA2E86">
        <w:t xml:space="preserve">is </w:t>
      </w:r>
      <w:r w:rsidR="009C0855">
        <w:t>comparative rather than absolute</w:t>
      </w:r>
      <w:r w:rsidR="00D36B92">
        <w:t>, thus it was never designed to generate absolute numbers</w:t>
      </w:r>
      <w:r w:rsidR="00EA2E86">
        <w:t xml:space="preserve">. </w:t>
      </w:r>
      <w:r w:rsidR="0095627E">
        <w:t xml:space="preserve"> </w:t>
      </w:r>
      <w:r w:rsidR="00D36B92">
        <w:t>Secondly because i</w:t>
      </w:r>
      <w:r w:rsidR="00270190">
        <w:t>t is dealing with the natural world</w:t>
      </w:r>
      <w:r w:rsidR="00F75D63">
        <w:t>,</w:t>
      </w:r>
      <w:r w:rsidR="00270190">
        <w:t xml:space="preserve"> in which N flows will never </w:t>
      </w:r>
      <w:r w:rsidR="00D36B92">
        <w:t xml:space="preserve">realistically </w:t>
      </w:r>
      <w:r w:rsidR="00270190">
        <w:t xml:space="preserve">be able to be characterised </w:t>
      </w:r>
      <w:r w:rsidR="00F75D63">
        <w:t xml:space="preserve">to be </w:t>
      </w:r>
      <w:r w:rsidR="00270190">
        <w:t>precise, accurate and absolute numbers</w:t>
      </w:r>
      <w:r w:rsidR="00F75D63">
        <w:t>,</w:t>
      </w:r>
      <w:r w:rsidR="00270190">
        <w:t xml:space="preserve"> as there are a huge number of variables </w:t>
      </w:r>
      <w:r w:rsidR="00F75D63">
        <w:t>involved</w:t>
      </w:r>
      <w:r w:rsidR="00270190">
        <w:t xml:space="preserve">.  </w:t>
      </w:r>
      <w:r w:rsidR="003F5503">
        <w:t xml:space="preserve"> </w:t>
      </w:r>
      <w:r w:rsidR="00F75D63">
        <w:t>Any model that is describing processes in the natural world should be representing the result as a number within a confidence interval</w:t>
      </w:r>
      <w:r w:rsidR="00D36B92">
        <w:t xml:space="preserve"> or range</w:t>
      </w:r>
      <w:r w:rsidR="00F75D63">
        <w:t>.  “Overseer” should be no exception</w:t>
      </w:r>
      <w:r w:rsidR="00D36B92">
        <w:t>. Thirdly i</w:t>
      </w:r>
      <w:r w:rsidR="009C0855">
        <w:t>ts ownership by the agricultural sector</w:t>
      </w:r>
      <w:r w:rsidR="00EA2E86">
        <w:t xml:space="preserve">, with a trademark making its interior workings unavailable for scrutiny, </w:t>
      </w:r>
      <w:r w:rsidR="009C0855">
        <w:t>makes in inappropriate to be used in trade-offs between agriculture and other land uses</w:t>
      </w:r>
      <w:r w:rsidR="00765954">
        <w:t>, as no one outside this sector can audit it</w:t>
      </w:r>
      <w:r w:rsidR="00EB0DEE">
        <w:t xml:space="preserve">.  </w:t>
      </w:r>
      <w:r w:rsidR="00EC7E0C">
        <w:t xml:space="preserve">The </w:t>
      </w:r>
      <w:r w:rsidR="00270190">
        <w:t xml:space="preserve">lack of independent </w:t>
      </w:r>
      <w:r w:rsidR="00F75D63">
        <w:t>scrutiny</w:t>
      </w:r>
      <w:r w:rsidR="00270190">
        <w:t xml:space="preserve"> </w:t>
      </w:r>
      <w:r w:rsidR="00EC7E0C">
        <w:t>makes it</w:t>
      </w:r>
      <w:r w:rsidR="00270190">
        <w:t xml:space="preserve"> improper to</w:t>
      </w:r>
      <w:r w:rsidR="00EC7E0C">
        <w:t xml:space="preserve"> use </w:t>
      </w:r>
      <w:r w:rsidR="00270190">
        <w:t xml:space="preserve">it </w:t>
      </w:r>
      <w:r w:rsidR="00EC7E0C">
        <w:t>in the public sphere for contestable funds</w:t>
      </w:r>
      <w:r w:rsidR="00F75D63">
        <w:t>,</w:t>
      </w:r>
      <w:r w:rsidR="00270190">
        <w:t xml:space="preserve"> or </w:t>
      </w:r>
      <w:r w:rsidR="00EC7E0C">
        <w:t xml:space="preserve">for making decisions that will </w:t>
      </w:r>
      <w:r w:rsidR="00270190">
        <w:t>change l</w:t>
      </w:r>
      <w:r w:rsidR="00EC7E0C">
        <w:t xml:space="preserve">and values by millions of dollars.  </w:t>
      </w:r>
      <w:r w:rsidR="00270190">
        <w:t xml:space="preserve"> </w:t>
      </w:r>
      <w:r w:rsidR="007D4289">
        <w:t xml:space="preserve">Fourthly </w:t>
      </w:r>
      <w:r w:rsidR="00360308">
        <w:t>known within-model issues</w:t>
      </w:r>
      <w:r w:rsidR="007D4289">
        <w:t xml:space="preserve"> and </w:t>
      </w:r>
      <w:r w:rsidR="00360308">
        <w:t xml:space="preserve">known operator </w:t>
      </w:r>
      <w:r w:rsidR="00293258">
        <w:t>issues</w:t>
      </w:r>
      <w:r w:rsidR="00F75D63">
        <w:t xml:space="preserve"> mean</w:t>
      </w:r>
      <w:r w:rsidR="007D4289">
        <w:t>s</w:t>
      </w:r>
      <w:r w:rsidR="00F75D63">
        <w:t xml:space="preserve"> that </w:t>
      </w:r>
      <w:r w:rsidR="00360308">
        <w:t xml:space="preserve">the model lacks repeatability.  </w:t>
      </w:r>
      <w:r w:rsidR="00293258">
        <w:t xml:space="preserve">  </w:t>
      </w:r>
    </w:p>
    <w:p w:rsidR="00EB0DEE" w:rsidRPr="00183107" w:rsidRDefault="00536016" w:rsidP="00DF0E62">
      <w:pPr>
        <w:pStyle w:val="ListParagraph"/>
        <w:autoSpaceDE w:val="0"/>
        <w:autoSpaceDN w:val="0"/>
        <w:adjustRightInd w:val="0"/>
        <w:ind w:left="502"/>
        <w:rPr>
          <w:rFonts w:cs="Arial-BoldMT"/>
          <w:bCs/>
        </w:rPr>
      </w:pPr>
      <w:r w:rsidRPr="00183107">
        <w:rPr>
          <w:rFonts w:cs="Arial-BoldMT"/>
          <w:bCs/>
        </w:rPr>
        <w:t xml:space="preserve">  </w:t>
      </w:r>
    </w:p>
    <w:p w:rsidR="00FE56C5" w:rsidRPr="00BD4CA0" w:rsidRDefault="007D4289" w:rsidP="00F8173A">
      <w:pPr>
        <w:pStyle w:val="ListParagraph"/>
        <w:numPr>
          <w:ilvl w:val="0"/>
          <w:numId w:val="28"/>
        </w:numPr>
        <w:rPr>
          <w:color w:val="7030A0"/>
        </w:rPr>
      </w:pPr>
      <w:r w:rsidRPr="008411E8">
        <w:rPr>
          <w:color w:val="000000" w:themeColor="text1"/>
        </w:rPr>
        <w:t xml:space="preserve">There are a further set of factors that should instil caution in using this model’s outputs.  </w:t>
      </w:r>
      <w:r w:rsidR="00557AFB" w:rsidRPr="008411E8">
        <w:rPr>
          <w:color w:val="000000" w:themeColor="text1"/>
        </w:rPr>
        <w:t>Overseer has not been validated to t</w:t>
      </w:r>
      <w:r w:rsidR="00A0177A" w:rsidRPr="008411E8">
        <w:rPr>
          <w:color w:val="000000" w:themeColor="text1"/>
        </w:rPr>
        <w:t xml:space="preserve">he characteristics of different soil types.  </w:t>
      </w:r>
      <w:r w:rsidR="00FE56C5" w:rsidRPr="008411E8">
        <w:rPr>
          <w:color w:val="000000" w:themeColor="text1"/>
        </w:rPr>
        <w:t>I</w:t>
      </w:r>
      <w:r w:rsidR="008A728F" w:rsidRPr="008411E8">
        <w:rPr>
          <w:color w:val="000000" w:themeColor="text1"/>
        </w:rPr>
        <w:t>ts accura</w:t>
      </w:r>
      <w:r w:rsidR="005732FC" w:rsidRPr="008411E8">
        <w:rPr>
          <w:color w:val="000000" w:themeColor="text1"/>
        </w:rPr>
        <w:t xml:space="preserve">cy </w:t>
      </w:r>
      <w:r w:rsidR="008A728F" w:rsidRPr="008411E8">
        <w:rPr>
          <w:color w:val="000000" w:themeColor="text1"/>
        </w:rPr>
        <w:t xml:space="preserve">for </w:t>
      </w:r>
      <w:r w:rsidR="005732FC" w:rsidRPr="008411E8">
        <w:rPr>
          <w:color w:val="000000" w:themeColor="text1"/>
        </w:rPr>
        <w:t xml:space="preserve">the soils of </w:t>
      </w:r>
      <w:r w:rsidR="00002EB3" w:rsidRPr="008411E8">
        <w:rPr>
          <w:color w:val="000000" w:themeColor="text1"/>
        </w:rPr>
        <w:t xml:space="preserve">Lake </w:t>
      </w:r>
      <w:r w:rsidR="008A728F" w:rsidRPr="008411E8">
        <w:rPr>
          <w:color w:val="000000" w:themeColor="text1"/>
        </w:rPr>
        <w:t xml:space="preserve">Rotorua </w:t>
      </w:r>
      <w:r w:rsidR="005732FC" w:rsidRPr="008411E8">
        <w:rPr>
          <w:color w:val="000000" w:themeColor="text1"/>
        </w:rPr>
        <w:t xml:space="preserve">is </w:t>
      </w:r>
      <w:r w:rsidRPr="008411E8">
        <w:rPr>
          <w:color w:val="000000" w:themeColor="text1"/>
        </w:rPr>
        <w:t xml:space="preserve">still </w:t>
      </w:r>
      <w:r w:rsidR="005732FC" w:rsidRPr="008411E8">
        <w:rPr>
          <w:color w:val="000000" w:themeColor="text1"/>
        </w:rPr>
        <w:t>unknown</w:t>
      </w:r>
      <w:r w:rsidR="00FE56C5" w:rsidRPr="008411E8">
        <w:rPr>
          <w:color w:val="000000" w:themeColor="text1"/>
        </w:rPr>
        <w:t xml:space="preserve">. </w:t>
      </w:r>
      <w:r w:rsidRPr="008411E8">
        <w:rPr>
          <w:color w:val="000000" w:themeColor="text1"/>
        </w:rPr>
        <w:t xml:space="preserve"> </w:t>
      </w:r>
      <w:r w:rsidR="00002EB3" w:rsidRPr="008411E8">
        <w:rPr>
          <w:color w:val="000000" w:themeColor="text1"/>
        </w:rPr>
        <w:t xml:space="preserve">It </w:t>
      </w:r>
      <w:r w:rsidR="00A0177A" w:rsidRPr="008411E8">
        <w:rPr>
          <w:color w:val="000000" w:themeColor="text1"/>
        </w:rPr>
        <w:t xml:space="preserve">can’t represent </w:t>
      </w:r>
      <w:r w:rsidR="0082779B" w:rsidRPr="008411E8">
        <w:rPr>
          <w:color w:val="000000" w:themeColor="text1"/>
        </w:rPr>
        <w:t xml:space="preserve">physical </w:t>
      </w:r>
      <w:r w:rsidR="00A0177A" w:rsidRPr="008411E8">
        <w:rPr>
          <w:color w:val="000000" w:themeColor="text1"/>
        </w:rPr>
        <w:t>mitigations</w:t>
      </w:r>
      <w:r w:rsidRPr="008411E8">
        <w:rPr>
          <w:color w:val="000000" w:themeColor="text1"/>
        </w:rPr>
        <w:t xml:space="preserve"> that avoid N loss, which</w:t>
      </w:r>
      <w:r w:rsidR="0082779B" w:rsidRPr="008411E8">
        <w:rPr>
          <w:color w:val="000000" w:themeColor="text1"/>
        </w:rPr>
        <w:t xml:space="preserve"> severely limits its value for assessing </w:t>
      </w:r>
      <w:r w:rsidR="00A05EC6" w:rsidRPr="008411E8">
        <w:rPr>
          <w:color w:val="000000" w:themeColor="text1"/>
        </w:rPr>
        <w:t>N output reduction techniques.</w:t>
      </w:r>
      <w:r w:rsidR="00E52CE7" w:rsidRPr="008411E8">
        <w:rPr>
          <w:color w:val="000000" w:themeColor="text1"/>
        </w:rPr>
        <w:t xml:space="preserve">  </w:t>
      </w:r>
      <w:r w:rsidRPr="008411E8">
        <w:rPr>
          <w:color w:val="000000" w:themeColor="text1"/>
        </w:rPr>
        <w:t xml:space="preserve">It assumes best practice is occurring for a </w:t>
      </w:r>
      <w:r w:rsidR="00AE4495" w:rsidRPr="008411E8">
        <w:rPr>
          <w:color w:val="000000" w:themeColor="text1"/>
        </w:rPr>
        <w:t>range</w:t>
      </w:r>
      <w:r w:rsidRPr="008411E8">
        <w:rPr>
          <w:color w:val="000000" w:themeColor="text1"/>
        </w:rPr>
        <w:t xml:space="preserve"> of on farm behaviours, which is </w:t>
      </w:r>
      <w:r w:rsidR="00AE4495" w:rsidRPr="008411E8">
        <w:rPr>
          <w:color w:val="000000" w:themeColor="text1"/>
        </w:rPr>
        <w:t>often</w:t>
      </w:r>
      <w:r w:rsidR="008411E8" w:rsidRPr="008411E8">
        <w:rPr>
          <w:color w:val="000000" w:themeColor="text1"/>
        </w:rPr>
        <w:t xml:space="preserve"> not the case, thus it underestimates N leaching. </w:t>
      </w:r>
      <w:r w:rsidR="00FE56C5" w:rsidRPr="008411E8">
        <w:rPr>
          <w:color w:val="000000" w:themeColor="text1"/>
        </w:rPr>
        <w:t>It can’t represent non-pastoral land uses with any accuracy.</w:t>
      </w:r>
      <w:r w:rsidR="00EA1A90">
        <w:rPr>
          <w:color w:val="000000" w:themeColor="text1"/>
        </w:rPr>
        <w:t xml:space="preserve"> </w:t>
      </w:r>
      <w:r w:rsidR="00EA1A90" w:rsidRPr="00EA1A90">
        <w:rPr>
          <w:color w:val="000000" w:themeColor="text1"/>
        </w:rPr>
        <w:t xml:space="preserve">Overseer is not designed to model forestry and does not model forestry well.  </w:t>
      </w:r>
    </w:p>
    <w:p w:rsidR="008411E8" w:rsidRDefault="008411E8" w:rsidP="008411E8">
      <w:pPr>
        <w:pStyle w:val="ListParagraph"/>
        <w:shd w:val="clear" w:color="auto" w:fill="FFFFFF" w:themeFill="background1"/>
        <w:ind w:left="501"/>
        <w:rPr>
          <w:color w:val="000000" w:themeColor="text1"/>
        </w:rPr>
      </w:pPr>
    </w:p>
    <w:p w:rsidR="0042692F" w:rsidRPr="00A05EC6" w:rsidRDefault="00FE56C5" w:rsidP="00F8173A">
      <w:pPr>
        <w:pStyle w:val="ListParagraph"/>
        <w:numPr>
          <w:ilvl w:val="0"/>
          <w:numId w:val="28"/>
        </w:numPr>
        <w:shd w:val="clear" w:color="auto" w:fill="FFFFFF" w:themeFill="background1"/>
        <w:rPr>
          <w:color w:val="000000" w:themeColor="text1"/>
        </w:rPr>
      </w:pPr>
      <w:r>
        <w:rPr>
          <w:color w:val="000000" w:themeColor="text1"/>
        </w:rPr>
        <w:lastRenderedPageBreak/>
        <w:t>Further</w:t>
      </w:r>
      <w:r w:rsidR="0042692F" w:rsidRPr="00A05EC6">
        <w:rPr>
          <w:color w:val="000000" w:themeColor="text1"/>
        </w:rPr>
        <w:t xml:space="preserve"> </w:t>
      </w:r>
      <w:r w:rsidR="008C11E7" w:rsidRPr="00A05EC6">
        <w:rPr>
          <w:color w:val="000000" w:themeColor="text1"/>
        </w:rPr>
        <w:t xml:space="preserve">modifications to </w:t>
      </w:r>
      <w:r w:rsidR="0042692F" w:rsidRPr="00A05EC6">
        <w:rPr>
          <w:color w:val="000000" w:themeColor="text1"/>
        </w:rPr>
        <w:t xml:space="preserve">the </w:t>
      </w:r>
      <w:r w:rsidR="00A05EC6">
        <w:rPr>
          <w:color w:val="000000" w:themeColor="text1"/>
        </w:rPr>
        <w:t xml:space="preserve">way the model has been used </w:t>
      </w:r>
      <w:r w:rsidR="0042692F" w:rsidRPr="00A05EC6">
        <w:rPr>
          <w:color w:val="000000" w:themeColor="text1"/>
        </w:rPr>
        <w:t>in the Lake Rotorua catchment</w:t>
      </w:r>
      <w:r w:rsidR="00A05EC6">
        <w:rPr>
          <w:color w:val="000000" w:themeColor="text1"/>
        </w:rPr>
        <w:t xml:space="preserve"> seriously compound the problems</w:t>
      </w:r>
      <w:r w:rsidR="00E52CE7">
        <w:rPr>
          <w:color w:val="000000" w:themeColor="text1"/>
        </w:rPr>
        <w:t xml:space="preserve"> that are</w:t>
      </w:r>
      <w:r w:rsidR="001F05C7">
        <w:rPr>
          <w:color w:val="000000" w:themeColor="text1"/>
        </w:rPr>
        <w:t xml:space="preserve"> innate to the model design</w:t>
      </w:r>
      <w:r w:rsidR="008411E8">
        <w:rPr>
          <w:color w:val="000000" w:themeColor="text1"/>
        </w:rPr>
        <w:t xml:space="preserve"> and function</w:t>
      </w:r>
      <w:r w:rsidR="0042692F" w:rsidRPr="00A05EC6">
        <w:rPr>
          <w:color w:val="000000" w:themeColor="text1"/>
        </w:rPr>
        <w:t xml:space="preserve">. </w:t>
      </w:r>
    </w:p>
    <w:p w:rsidR="0042692F" w:rsidRDefault="0042692F" w:rsidP="00C15ABB">
      <w:pPr>
        <w:shd w:val="clear" w:color="auto" w:fill="FFFFFF" w:themeFill="background1"/>
        <w:ind w:left="142"/>
        <w:rPr>
          <w:color w:val="000000" w:themeColor="text1"/>
        </w:rPr>
      </w:pPr>
    </w:p>
    <w:p w:rsidR="000E066C" w:rsidRPr="00BF336D" w:rsidRDefault="0042692F" w:rsidP="00F8173A">
      <w:pPr>
        <w:pStyle w:val="ListParagraph"/>
        <w:numPr>
          <w:ilvl w:val="0"/>
          <w:numId w:val="28"/>
        </w:numPr>
        <w:rPr>
          <w:rFonts w:ascii="Calibri" w:eastAsiaTheme="minorHAnsi" w:hAnsi="Calibri" w:cs="Calibri"/>
          <w:color w:val="000000" w:themeColor="text1"/>
          <w:szCs w:val="22"/>
        </w:rPr>
      </w:pPr>
      <w:r w:rsidRPr="00A05EC6">
        <w:rPr>
          <w:color w:val="000000" w:themeColor="text1"/>
        </w:rPr>
        <w:t xml:space="preserve">Council </w:t>
      </w:r>
      <w:r w:rsidR="00A05EC6" w:rsidRPr="00A05EC6">
        <w:rPr>
          <w:color w:val="000000" w:themeColor="text1"/>
        </w:rPr>
        <w:t xml:space="preserve">initially </w:t>
      </w:r>
      <w:r w:rsidRPr="00A05EC6">
        <w:rPr>
          <w:color w:val="000000" w:themeColor="text1"/>
        </w:rPr>
        <w:t>used version 5.4 of Overseer</w:t>
      </w:r>
      <w:r w:rsidR="00FE56C5">
        <w:rPr>
          <w:color w:val="000000" w:themeColor="text1"/>
        </w:rPr>
        <w:t xml:space="preserve"> to </w:t>
      </w:r>
      <w:r w:rsidR="00FE56C5" w:rsidRPr="00A05EC6">
        <w:rPr>
          <w:color w:val="000000" w:themeColor="text1"/>
        </w:rPr>
        <w:t xml:space="preserve">developing the allocation limits and </w:t>
      </w:r>
      <w:r w:rsidR="008411E8">
        <w:rPr>
          <w:color w:val="000000" w:themeColor="text1"/>
        </w:rPr>
        <w:t>sector range</w:t>
      </w:r>
      <w:r w:rsidR="00FE56C5" w:rsidRPr="00A05EC6">
        <w:rPr>
          <w:color w:val="000000" w:themeColor="text1"/>
        </w:rPr>
        <w:t xml:space="preserve"> performance requirements</w:t>
      </w:r>
      <w:r w:rsidRPr="00A05EC6">
        <w:rPr>
          <w:color w:val="000000" w:themeColor="text1"/>
        </w:rPr>
        <w:t xml:space="preserve">.  </w:t>
      </w:r>
      <w:r w:rsidR="008411E8">
        <w:rPr>
          <w:color w:val="000000" w:themeColor="text1"/>
        </w:rPr>
        <w:t xml:space="preserve">Subsequent version changes to Overseer changed the numbers that it spat out for various farming operations, which meant that Council’s 5.4 dataset was no longer </w:t>
      </w:r>
      <w:r w:rsidR="008115C2">
        <w:rPr>
          <w:color w:val="000000" w:themeColor="text1"/>
        </w:rPr>
        <w:t>appropriate</w:t>
      </w:r>
      <w:r w:rsidR="008411E8">
        <w:rPr>
          <w:color w:val="000000" w:themeColor="text1"/>
        </w:rPr>
        <w:t xml:space="preserve">.  </w:t>
      </w:r>
      <w:r w:rsidR="008C11E7" w:rsidRPr="00A05EC6">
        <w:rPr>
          <w:color w:val="000000" w:themeColor="text1"/>
        </w:rPr>
        <w:t xml:space="preserve">This </w:t>
      </w:r>
      <w:r w:rsidR="00D138E2" w:rsidRPr="00A05EC6">
        <w:rPr>
          <w:color w:val="000000" w:themeColor="text1"/>
        </w:rPr>
        <w:t xml:space="preserve">change in </w:t>
      </w:r>
      <w:r w:rsidR="008411E8">
        <w:rPr>
          <w:color w:val="000000" w:themeColor="text1"/>
        </w:rPr>
        <w:t xml:space="preserve">the output </w:t>
      </w:r>
      <w:r w:rsidR="008115C2">
        <w:rPr>
          <w:color w:val="000000" w:themeColor="text1"/>
        </w:rPr>
        <w:t xml:space="preserve">between versions </w:t>
      </w:r>
      <w:r w:rsidR="008C11E7" w:rsidRPr="00A05EC6">
        <w:rPr>
          <w:color w:val="000000" w:themeColor="text1"/>
        </w:rPr>
        <w:t xml:space="preserve">is a clear </w:t>
      </w:r>
      <w:r w:rsidRPr="00A05EC6">
        <w:rPr>
          <w:color w:val="000000" w:themeColor="text1"/>
        </w:rPr>
        <w:t xml:space="preserve">indication that </w:t>
      </w:r>
      <w:r w:rsidR="008C11E7" w:rsidRPr="00A05EC6">
        <w:rPr>
          <w:color w:val="000000" w:themeColor="text1"/>
        </w:rPr>
        <w:t xml:space="preserve">Overseer </w:t>
      </w:r>
      <w:r w:rsidR="008411E8">
        <w:rPr>
          <w:color w:val="000000" w:themeColor="text1"/>
        </w:rPr>
        <w:t>results</w:t>
      </w:r>
      <w:r w:rsidR="008C11E7" w:rsidRPr="00A05EC6">
        <w:rPr>
          <w:color w:val="000000" w:themeColor="text1"/>
        </w:rPr>
        <w:t xml:space="preserve"> </w:t>
      </w:r>
      <w:r w:rsidR="00B90480" w:rsidRPr="00A05EC6">
        <w:rPr>
          <w:color w:val="000000" w:themeColor="text1"/>
        </w:rPr>
        <w:t xml:space="preserve">should not be used to </w:t>
      </w:r>
      <w:r w:rsidR="00A05EC6" w:rsidRPr="00A05EC6">
        <w:rPr>
          <w:color w:val="000000" w:themeColor="text1"/>
        </w:rPr>
        <w:t>characterise</w:t>
      </w:r>
      <w:r w:rsidR="00B90480" w:rsidRPr="00A05EC6">
        <w:rPr>
          <w:color w:val="000000" w:themeColor="text1"/>
        </w:rPr>
        <w:t xml:space="preserve"> absolute numbers</w:t>
      </w:r>
      <w:r w:rsidRPr="00A05EC6">
        <w:rPr>
          <w:color w:val="000000" w:themeColor="text1"/>
        </w:rPr>
        <w:t xml:space="preserve">.  </w:t>
      </w:r>
      <w:r w:rsidR="00A05EC6" w:rsidRPr="00A05EC6">
        <w:rPr>
          <w:color w:val="000000" w:themeColor="text1"/>
        </w:rPr>
        <w:t>Council</w:t>
      </w:r>
      <w:r w:rsidR="00C63190" w:rsidRPr="00A05EC6">
        <w:rPr>
          <w:color w:val="000000" w:themeColor="text1"/>
        </w:rPr>
        <w:t xml:space="preserve"> </w:t>
      </w:r>
      <w:r w:rsidRPr="00A05EC6">
        <w:rPr>
          <w:color w:val="000000" w:themeColor="text1"/>
        </w:rPr>
        <w:t xml:space="preserve">decided to cross reference </w:t>
      </w:r>
      <w:r w:rsidR="00B90480" w:rsidRPr="00A05EC6">
        <w:rPr>
          <w:color w:val="000000" w:themeColor="text1"/>
        </w:rPr>
        <w:t xml:space="preserve">the outcomes of version </w:t>
      </w:r>
      <w:r w:rsidR="008C11E7" w:rsidRPr="00A05EC6">
        <w:rPr>
          <w:color w:val="000000" w:themeColor="text1"/>
        </w:rPr>
        <w:t xml:space="preserve">5.4 </w:t>
      </w:r>
      <w:r w:rsidR="00C503D3" w:rsidRPr="00A05EC6">
        <w:rPr>
          <w:color w:val="000000" w:themeColor="text1"/>
        </w:rPr>
        <w:t>to</w:t>
      </w:r>
      <w:r w:rsidR="008C11E7" w:rsidRPr="00A05EC6">
        <w:rPr>
          <w:color w:val="000000" w:themeColor="text1"/>
        </w:rPr>
        <w:t xml:space="preserve"> version </w:t>
      </w:r>
      <w:r w:rsidR="00B90480" w:rsidRPr="00A05EC6">
        <w:rPr>
          <w:color w:val="000000" w:themeColor="text1"/>
        </w:rPr>
        <w:t>6.2.0</w:t>
      </w:r>
      <w:r w:rsidR="00B20B67" w:rsidRPr="00A05EC6">
        <w:rPr>
          <w:color w:val="000000" w:themeColor="text1"/>
        </w:rPr>
        <w:t xml:space="preserve">.  In order to do that they created what they called “reference files”. </w:t>
      </w:r>
      <w:r w:rsidR="000A4603" w:rsidRPr="00A05EC6">
        <w:rPr>
          <w:color w:val="000000" w:themeColor="text1"/>
        </w:rPr>
        <w:t xml:space="preserve"> </w:t>
      </w:r>
      <w:r w:rsidR="008115C2">
        <w:rPr>
          <w:color w:val="000000" w:themeColor="text1"/>
        </w:rPr>
        <w:t>These attempt to describe a basic farming operation in a way that allows for correlation between Overseer versions.  Unfortunately Overseer is not amenable to such correlation, as its processes and outputs are not linear relationships.  Council’s attempt to create linear relationships have an additive effect on the inaccuracy already present in its characterisation of on-farm practice</w:t>
      </w:r>
      <w:r w:rsidR="00BF336D">
        <w:rPr>
          <w:color w:val="000000" w:themeColor="text1"/>
        </w:rPr>
        <w:t xml:space="preserve"> and</w:t>
      </w:r>
      <w:r w:rsidR="008115C2">
        <w:rPr>
          <w:color w:val="000000" w:themeColor="text1"/>
        </w:rPr>
        <w:t xml:space="preserve"> its </w:t>
      </w:r>
      <w:r w:rsidR="00BF336D">
        <w:rPr>
          <w:color w:val="000000" w:themeColor="text1"/>
        </w:rPr>
        <w:t xml:space="preserve">capcity to accurately </w:t>
      </w:r>
      <w:r w:rsidR="008115C2">
        <w:rPr>
          <w:color w:val="000000" w:themeColor="text1"/>
        </w:rPr>
        <w:t>descri</w:t>
      </w:r>
      <w:r w:rsidR="00BF336D">
        <w:rPr>
          <w:color w:val="000000" w:themeColor="text1"/>
        </w:rPr>
        <w:t>be the</w:t>
      </w:r>
      <w:r w:rsidR="008115C2">
        <w:rPr>
          <w:color w:val="000000" w:themeColor="text1"/>
        </w:rPr>
        <w:t xml:space="preserve"> physical </w:t>
      </w:r>
      <w:r w:rsidR="00BF336D">
        <w:rPr>
          <w:color w:val="000000" w:themeColor="text1"/>
        </w:rPr>
        <w:t>progr</w:t>
      </w:r>
      <w:r w:rsidR="008115C2">
        <w:rPr>
          <w:color w:val="000000" w:themeColor="text1"/>
        </w:rPr>
        <w:t xml:space="preserve">ess </w:t>
      </w:r>
      <w:r w:rsidR="00BF336D">
        <w:rPr>
          <w:color w:val="000000" w:themeColor="text1"/>
        </w:rPr>
        <w:t xml:space="preserve">on N </w:t>
      </w:r>
      <w:r w:rsidR="008115C2">
        <w:rPr>
          <w:color w:val="000000" w:themeColor="text1"/>
        </w:rPr>
        <w:t xml:space="preserve">through soils and </w:t>
      </w:r>
      <w:r w:rsidR="00BF336D">
        <w:rPr>
          <w:color w:val="000000" w:themeColor="text1"/>
        </w:rPr>
        <w:t xml:space="preserve">groundwater. </w:t>
      </w:r>
      <w:r w:rsidR="008115C2">
        <w:rPr>
          <w:color w:val="000000" w:themeColor="text1"/>
        </w:rPr>
        <w:t xml:space="preserve">  </w:t>
      </w:r>
      <w:r w:rsidR="00BF336D" w:rsidRPr="00C55ACC">
        <w:rPr>
          <w:rFonts w:ascii="Calibri" w:hAnsi="Calibri" w:cs="Calibri"/>
          <w:color w:val="000000" w:themeColor="text1"/>
          <w:szCs w:val="22"/>
        </w:rPr>
        <w:t xml:space="preserve">Council </w:t>
      </w:r>
      <w:r w:rsidR="00BF336D">
        <w:rPr>
          <w:rFonts w:ascii="Calibri" w:hAnsi="Calibri" w:cs="Calibri"/>
          <w:color w:val="000000" w:themeColor="text1"/>
          <w:szCs w:val="22"/>
        </w:rPr>
        <w:t xml:space="preserve">then </w:t>
      </w:r>
      <w:r w:rsidR="00BF336D" w:rsidRPr="00C55ACC">
        <w:rPr>
          <w:rFonts w:ascii="Calibri" w:hAnsi="Calibri" w:cs="Calibri"/>
          <w:color w:val="000000" w:themeColor="text1"/>
          <w:szCs w:val="22"/>
        </w:rPr>
        <w:t xml:space="preserve">used </w:t>
      </w:r>
      <w:r w:rsidR="00BF336D">
        <w:rPr>
          <w:rFonts w:ascii="Calibri" w:hAnsi="Calibri" w:cs="Calibri"/>
          <w:color w:val="000000" w:themeColor="text1"/>
          <w:szCs w:val="22"/>
        </w:rPr>
        <w:t xml:space="preserve">Overseer </w:t>
      </w:r>
      <w:r w:rsidR="00BF336D" w:rsidRPr="00C55ACC">
        <w:rPr>
          <w:rFonts w:ascii="Calibri" w:hAnsi="Calibri" w:cs="Calibri"/>
          <w:color w:val="000000" w:themeColor="text1"/>
          <w:szCs w:val="22"/>
        </w:rPr>
        <w:t xml:space="preserve">modelling </w:t>
      </w:r>
      <w:r w:rsidR="00BF336D" w:rsidRPr="00C55ACC">
        <w:rPr>
          <w:rFonts w:ascii="Calibri" w:eastAsiaTheme="minorHAnsi" w:hAnsi="Calibri" w:cs="Calibri"/>
          <w:color w:val="000000" w:themeColor="text1"/>
          <w:szCs w:val="22"/>
        </w:rPr>
        <w:t>to pull previously unengaged farm</w:t>
      </w:r>
      <w:r w:rsidR="00BF336D">
        <w:rPr>
          <w:rFonts w:ascii="Calibri" w:eastAsiaTheme="minorHAnsi" w:hAnsi="Calibri" w:cs="Calibri"/>
          <w:color w:val="000000" w:themeColor="text1"/>
          <w:szCs w:val="22"/>
        </w:rPr>
        <w:t xml:space="preserve"> enterprises</w:t>
      </w:r>
      <w:r w:rsidR="00BF336D" w:rsidRPr="00C55ACC">
        <w:rPr>
          <w:rFonts w:ascii="Calibri" w:eastAsiaTheme="minorHAnsi" w:hAnsi="Calibri" w:cs="Calibri"/>
          <w:color w:val="000000" w:themeColor="text1"/>
          <w:szCs w:val="22"/>
        </w:rPr>
        <w:t xml:space="preserve"> </w:t>
      </w:r>
      <w:r w:rsidR="00BF336D" w:rsidRPr="00C55ACC">
        <w:rPr>
          <w:rFonts w:ascii="Calibri" w:hAnsi="Calibri" w:cs="Calibri"/>
          <w:color w:val="000000" w:themeColor="text1"/>
          <w:szCs w:val="22"/>
        </w:rPr>
        <w:t xml:space="preserve">into </w:t>
      </w:r>
      <w:r w:rsidR="00BF336D">
        <w:rPr>
          <w:rFonts w:ascii="Calibri" w:hAnsi="Calibri" w:cs="Calibri"/>
          <w:color w:val="000000" w:themeColor="text1"/>
          <w:szCs w:val="22"/>
        </w:rPr>
        <w:t>the benchmarking exercise by</w:t>
      </w:r>
      <w:r w:rsidR="00BF336D" w:rsidRPr="00C55ACC">
        <w:rPr>
          <w:rFonts w:ascii="Calibri" w:eastAsiaTheme="minorHAnsi" w:hAnsi="Calibri" w:cs="Calibri"/>
          <w:color w:val="000000" w:themeColor="text1"/>
          <w:szCs w:val="22"/>
        </w:rPr>
        <w:t xml:space="preserve"> back-cast</w:t>
      </w:r>
      <w:r w:rsidR="00BF336D">
        <w:rPr>
          <w:rFonts w:ascii="Calibri" w:eastAsiaTheme="minorHAnsi" w:hAnsi="Calibri" w:cs="Calibri"/>
          <w:color w:val="000000" w:themeColor="text1"/>
          <w:szCs w:val="22"/>
        </w:rPr>
        <w:t>ing</w:t>
      </w:r>
      <w:r w:rsidR="00BF336D" w:rsidRPr="00C55ACC">
        <w:rPr>
          <w:rFonts w:ascii="Calibri" w:eastAsiaTheme="minorHAnsi" w:hAnsi="Calibri" w:cs="Calibri"/>
          <w:color w:val="000000" w:themeColor="text1"/>
          <w:szCs w:val="22"/>
        </w:rPr>
        <w:t xml:space="preserve"> to 20</w:t>
      </w:r>
      <w:r w:rsidR="00BF336D">
        <w:rPr>
          <w:rFonts w:ascii="Calibri" w:eastAsiaTheme="minorHAnsi" w:hAnsi="Calibri" w:cs="Calibri"/>
          <w:color w:val="000000" w:themeColor="text1"/>
          <w:szCs w:val="22"/>
        </w:rPr>
        <w:t>04</w:t>
      </w:r>
      <w:r w:rsidR="00BF336D" w:rsidRPr="00C55ACC">
        <w:rPr>
          <w:rFonts w:ascii="Calibri" w:eastAsiaTheme="minorHAnsi" w:hAnsi="Calibri" w:cs="Calibri"/>
          <w:color w:val="000000" w:themeColor="text1"/>
          <w:szCs w:val="22"/>
        </w:rPr>
        <w:t xml:space="preserve">.  </w:t>
      </w:r>
      <w:r w:rsidR="00BF336D">
        <w:rPr>
          <w:rFonts w:ascii="Calibri" w:eastAsiaTheme="minorHAnsi" w:hAnsi="Calibri" w:cs="Calibri"/>
          <w:color w:val="000000" w:themeColor="text1"/>
          <w:szCs w:val="22"/>
        </w:rPr>
        <w:t>T</w:t>
      </w:r>
      <w:r w:rsidR="00BF336D">
        <w:rPr>
          <w:rFonts w:ascii="Calibri" w:hAnsi="Calibri" w:cs="Calibri"/>
          <w:color w:val="000000" w:themeColor="text1"/>
          <w:szCs w:val="22"/>
        </w:rPr>
        <w:t xml:space="preserve">he per property numbers now fit the overall profile required for an allocation policy, but their relationship to actual land use performance in the Rule 11 benchmark period is tenuous. </w:t>
      </w:r>
      <w:r w:rsidR="00BF336D" w:rsidRPr="00C55ACC">
        <w:rPr>
          <w:rFonts w:ascii="Calibri" w:eastAsiaTheme="minorHAnsi" w:hAnsi="Calibri" w:cs="Calibri"/>
          <w:color w:val="000000" w:themeColor="text1"/>
          <w:szCs w:val="22"/>
        </w:rPr>
        <w:t xml:space="preserve"> </w:t>
      </w:r>
    </w:p>
    <w:p w:rsidR="00022E97" w:rsidRPr="00F63D02" w:rsidRDefault="00022E97" w:rsidP="00C15ABB">
      <w:pPr>
        <w:ind w:left="142"/>
        <w:rPr>
          <w:color w:val="000000" w:themeColor="text1"/>
          <w:lang w:eastAsia="en-NZ"/>
        </w:rPr>
      </w:pPr>
    </w:p>
    <w:p w:rsidR="00F63D02" w:rsidRPr="00F63D02" w:rsidRDefault="008115C2" w:rsidP="00F8173A">
      <w:pPr>
        <w:pStyle w:val="ListParagraph"/>
        <w:numPr>
          <w:ilvl w:val="0"/>
          <w:numId w:val="28"/>
        </w:numPr>
        <w:autoSpaceDE w:val="0"/>
        <w:autoSpaceDN w:val="0"/>
        <w:rPr>
          <w:color w:val="000000" w:themeColor="text1"/>
          <w:lang w:eastAsia="en-NZ"/>
        </w:rPr>
      </w:pPr>
      <w:r>
        <w:rPr>
          <w:color w:val="000000" w:themeColor="text1"/>
          <w:lang w:eastAsia="en-NZ"/>
        </w:rPr>
        <w:t>To summarise</w:t>
      </w:r>
      <w:r w:rsidR="00BF336D">
        <w:rPr>
          <w:color w:val="000000" w:themeColor="text1"/>
          <w:lang w:eastAsia="en-NZ"/>
        </w:rPr>
        <w:t>.</w:t>
      </w:r>
      <w:r w:rsidR="003341A3">
        <w:rPr>
          <w:color w:val="000000" w:themeColor="text1"/>
          <w:lang w:eastAsia="en-NZ"/>
        </w:rPr>
        <w:t xml:space="preserve">  A</w:t>
      </w:r>
      <w:r w:rsidR="00F63D02" w:rsidRPr="00F63D02">
        <w:rPr>
          <w:color w:val="000000" w:themeColor="text1"/>
          <w:lang w:eastAsia="en-NZ"/>
        </w:rPr>
        <w:t>n opaque</w:t>
      </w:r>
      <w:r w:rsidR="004F7045">
        <w:rPr>
          <w:color w:val="000000" w:themeColor="text1"/>
          <w:lang w:eastAsia="en-NZ"/>
        </w:rPr>
        <w:t xml:space="preserve"> </w:t>
      </w:r>
      <w:r w:rsidR="00611249">
        <w:rPr>
          <w:color w:val="000000" w:themeColor="text1"/>
          <w:lang w:eastAsia="en-NZ"/>
        </w:rPr>
        <w:t>pastoral-</w:t>
      </w:r>
      <w:r w:rsidR="004F7045">
        <w:rPr>
          <w:color w:val="000000" w:themeColor="text1"/>
          <w:lang w:eastAsia="en-NZ"/>
        </w:rPr>
        <w:t>industry-</w:t>
      </w:r>
      <w:r w:rsidR="00F63D02" w:rsidRPr="00F63D02">
        <w:rPr>
          <w:color w:val="000000" w:themeColor="text1"/>
          <w:lang w:eastAsia="en-NZ"/>
        </w:rPr>
        <w:t xml:space="preserve">owned model, designed </w:t>
      </w:r>
      <w:r w:rsidR="004F7045">
        <w:rPr>
          <w:color w:val="000000" w:themeColor="text1"/>
          <w:lang w:eastAsia="en-NZ"/>
        </w:rPr>
        <w:t xml:space="preserve">to be </w:t>
      </w:r>
      <w:r w:rsidR="00F63D02" w:rsidRPr="00F63D02">
        <w:rPr>
          <w:color w:val="000000" w:themeColor="text1"/>
          <w:lang w:eastAsia="en-NZ"/>
        </w:rPr>
        <w:t xml:space="preserve">comparative </w:t>
      </w:r>
      <w:r w:rsidR="003341A3">
        <w:rPr>
          <w:color w:val="000000" w:themeColor="text1"/>
          <w:lang w:eastAsia="en-NZ"/>
        </w:rPr>
        <w:t xml:space="preserve">but </w:t>
      </w:r>
      <w:r w:rsidR="00F63D02" w:rsidRPr="00F63D02">
        <w:rPr>
          <w:color w:val="000000" w:themeColor="text1"/>
          <w:lang w:eastAsia="en-NZ"/>
        </w:rPr>
        <w:t>being used as absolute</w:t>
      </w:r>
      <w:r w:rsidR="003341A3">
        <w:rPr>
          <w:color w:val="000000" w:themeColor="text1"/>
          <w:lang w:eastAsia="en-NZ"/>
        </w:rPr>
        <w:t xml:space="preserve">, </w:t>
      </w:r>
      <w:r w:rsidR="00BF336D">
        <w:rPr>
          <w:color w:val="000000" w:themeColor="text1"/>
          <w:lang w:eastAsia="en-NZ"/>
        </w:rPr>
        <w:t>with</w:t>
      </w:r>
      <w:r w:rsidR="003341A3">
        <w:rPr>
          <w:color w:val="000000" w:themeColor="text1"/>
          <w:lang w:eastAsia="en-NZ"/>
        </w:rPr>
        <w:t xml:space="preserve"> </w:t>
      </w:r>
      <w:r w:rsidR="00F63D02" w:rsidRPr="00F63D02">
        <w:rPr>
          <w:color w:val="000000" w:themeColor="text1"/>
          <w:lang w:eastAsia="en-NZ"/>
        </w:rPr>
        <w:t xml:space="preserve">bolt-on modifications </w:t>
      </w:r>
      <w:r w:rsidR="00BF336D">
        <w:rPr>
          <w:color w:val="000000" w:themeColor="text1"/>
          <w:lang w:eastAsia="en-NZ"/>
        </w:rPr>
        <w:t xml:space="preserve">inconsistent </w:t>
      </w:r>
      <w:r w:rsidR="00F63D02" w:rsidRPr="00F63D02">
        <w:rPr>
          <w:color w:val="000000" w:themeColor="text1"/>
          <w:lang w:eastAsia="en-NZ"/>
        </w:rPr>
        <w:t xml:space="preserve">with its </w:t>
      </w:r>
      <w:r w:rsidR="003341A3">
        <w:rPr>
          <w:color w:val="000000" w:themeColor="text1"/>
          <w:lang w:eastAsia="en-NZ"/>
        </w:rPr>
        <w:t xml:space="preserve">structural </w:t>
      </w:r>
      <w:r w:rsidR="00F63D02" w:rsidRPr="00F63D02">
        <w:rPr>
          <w:color w:val="000000" w:themeColor="text1"/>
          <w:lang w:eastAsia="en-NZ"/>
        </w:rPr>
        <w:t>design</w:t>
      </w:r>
      <w:r w:rsidR="00611249">
        <w:rPr>
          <w:color w:val="000000" w:themeColor="text1"/>
          <w:lang w:eastAsia="en-NZ"/>
        </w:rPr>
        <w:t>,</w:t>
      </w:r>
      <w:r w:rsidR="00BF336D">
        <w:rPr>
          <w:color w:val="000000" w:themeColor="text1"/>
          <w:lang w:eastAsia="en-NZ"/>
        </w:rPr>
        <w:t xml:space="preserve"> </w:t>
      </w:r>
      <w:r w:rsidR="003341A3">
        <w:rPr>
          <w:color w:val="000000" w:themeColor="text1"/>
          <w:lang w:eastAsia="en-NZ"/>
        </w:rPr>
        <w:t xml:space="preserve">is proposed to be used </w:t>
      </w:r>
      <w:r w:rsidR="00F63D02" w:rsidRPr="00F63D02">
        <w:rPr>
          <w:color w:val="000000" w:themeColor="text1"/>
          <w:lang w:eastAsia="en-NZ"/>
        </w:rPr>
        <w:t>to allocate millions of dollar</w:t>
      </w:r>
      <w:r w:rsidR="004F7045">
        <w:rPr>
          <w:color w:val="000000" w:themeColor="text1"/>
          <w:lang w:eastAsia="en-NZ"/>
        </w:rPr>
        <w:t xml:space="preserve">s, and </w:t>
      </w:r>
      <w:r w:rsidR="003341A3">
        <w:rPr>
          <w:color w:val="000000" w:themeColor="text1"/>
          <w:lang w:eastAsia="en-NZ"/>
        </w:rPr>
        <w:t xml:space="preserve">to </w:t>
      </w:r>
      <w:r w:rsidR="004F7045">
        <w:rPr>
          <w:color w:val="000000" w:themeColor="text1"/>
          <w:lang w:eastAsia="en-NZ"/>
        </w:rPr>
        <w:t xml:space="preserve">make millions of dollars </w:t>
      </w:r>
      <w:r w:rsidR="00F63D02" w:rsidRPr="00F63D02">
        <w:rPr>
          <w:color w:val="000000" w:themeColor="text1"/>
          <w:lang w:eastAsia="en-NZ"/>
        </w:rPr>
        <w:t>of change to land use values.</w:t>
      </w:r>
      <w:r w:rsidR="001F05C7">
        <w:rPr>
          <w:color w:val="000000" w:themeColor="text1"/>
          <w:lang w:eastAsia="en-NZ"/>
        </w:rPr>
        <w:t xml:space="preserve"> </w:t>
      </w:r>
    </w:p>
    <w:p w:rsidR="00567F7E" w:rsidRPr="00BF336D" w:rsidRDefault="00567F7E" w:rsidP="00BF336D">
      <w:pPr>
        <w:shd w:val="clear" w:color="auto" w:fill="FFFFFF" w:themeFill="background1"/>
        <w:ind w:left="142"/>
        <w:rPr>
          <w:color w:val="000000" w:themeColor="text1"/>
        </w:rPr>
      </w:pPr>
    </w:p>
    <w:p w:rsidR="00337CD5" w:rsidRDefault="003D2BC8" w:rsidP="00F8173A">
      <w:pPr>
        <w:pStyle w:val="ListParagraph"/>
        <w:numPr>
          <w:ilvl w:val="0"/>
          <w:numId w:val="28"/>
        </w:numPr>
      </w:pPr>
      <w:r w:rsidRPr="000F3918">
        <w:rPr>
          <w:rFonts w:cs="Arial"/>
          <w:color w:val="333333"/>
          <w:lang w:eastAsia="en-NZ"/>
        </w:rPr>
        <w:t>BOPRC co</w:t>
      </w:r>
      <w:r w:rsidR="00FE56C5">
        <w:rPr>
          <w:rFonts w:cs="Arial"/>
          <w:color w:val="333333"/>
          <w:lang w:eastAsia="en-NZ"/>
        </w:rPr>
        <w:t>ncluded</w:t>
      </w:r>
      <w:r>
        <w:rPr>
          <w:rStyle w:val="FootnoteReference"/>
          <w:rFonts w:cs="Arial"/>
          <w:color w:val="333333"/>
          <w:lang w:eastAsia="en-NZ"/>
        </w:rPr>
        <w:footnoteReference w:id="9"/>
      </w:r>
      <w:r w:rsidRPr="000F3918">
        <w:rPr>
          <w:rFonts w:cs="Arial"/>
          <w:color w:val="333333"/>
          <w:lang w:eastAsia="en-NZ"/>
        </w:rPr>
        <w:t xml:space="preserve"> </w:t>
      </w:r>
      <w:r w:rsidR="00FE56C5">
        <w:rPr>
          <w:rFonts w:cs="Arial"/>
          <w:color w:val="333333"/>
          <w:lang w:eastAsia="en-NZ"/>
        </w:rPr>
        <w:t xml:space="preserve">that Overseer was </w:t>
      </w:r>
      <w:r w:rsidR="00004B6E" w:rsidRPr="000F3918">
        <w:rPr>
          <w:rFonts w:cs="Arial"/>
          <w:color w:val="333333"/>
          <w:lang w:eastAsia="en-NZ"/>
        </w:rPr>
        <w:t>appropriate</w:t>
      </w:r>
      <w:r w:rsidR="00FE56C5">
        <w:rPr>
          <w:rFonts w:cs="Arial"/>
          <w:color w:val="333333"/>
          <w:lang w:eastAsia="en-NZ"/>
        </w:rPr>
        <w:t xml:space="preserve"> to use </w:t>
      </w:r>
      <w:r w:rsidRPr="000F3918">
        <w:rPr>
          <w:rFonts w:cs="Arial"/>
          <w:color w:val="333333"/>
          <w:lang w:eastAsia="en-NZ"/>
        </w:rPr>
        <w:t xml:space="preserve">with regulatory effect in the Rotorua catchment.  </w:t>
      </w:r>
      <w:r w:rsidR="00FE56C5">
        <w:rPr>
          <w:rFonts w:cs="Arial"/>
          <w:color w:val="333333"/>
          <w:lang w:eastAsia="en-NZ"/>
        </w:rPr>
        <w:t>Timberlands</w:t>
      </w:r>
      <w:r w:rsidR="00A6538E">
        <w:rPr>
          <w:rFonts w:cs="Arial"/>
          <w:color w:val="333333"/>
          <w:lang w:eastAsia="en-NZ"/>
        </w:rPr>
        <w:t xml:space="preserve"> finds this</w:t>
      </w:r>
      <w:r w:rsidR="00FE56C5">
        <w:rPr>
          <w:rFonts w:cs="Arial"/>
          <w:color w:val="333333"/>
          <w:lang w:eastAsia="en-NZ"/>
        </w:rPr>
        <w:t xml:space="preserve"> reasoning </w:t>
      </w:r>
      <w:r w:rsidR="00A6538E">
        <w:rPr>
          <w:rFonts w:cs="Arial"/>
          <w:color w:val="333333"/>
          <w:lang w:eastAsia="en-NZ"/>
        </w:rPr>
        <w:t>unconvincing</w:t>
      </w:r>
      <w:r w:rsidR="00E72F1A">
        <w:t xml:space="preserve">.  </w:t>
      </w:r>
      <w:r w:rsidR="00337CD5">
        <w:t xml:space="preserve">Overseer is a work in progress that </w:t>
      </w:r>
      <w:r w:rsidR="00A6538E">
        <w:t>will</w:t>
      </w:r>
      <w:r w:rsidR="00337CD5">
        <w:t xml:space="preserve"> only ever </w:t>
      </w:r>
      <w:r w:rsidR="00A6538E">
        <w:t xml:space="preserve">be able to </w:t>
      </w:r>
      <w:r w:rsidR="00337CD5">
        <w:t>provide an estimate of N loss.  The output estimate changes with each version change</w:t>
      </w:r>
      <w:r w:rsidR="00A6538E">
        <w:t>, which points to changes in the algorithms used by Overseer</w:t>
      </w:r>
      <w:r w:rsidR="00337CD5">
        <w:t>.  There is within-version user variance</w:t>
      </w:r>
      <w:r w:rsidR="00A6538E">
        <w:t>, because those inputting data have to make a number of assumptions</w:t>
      </w:r>
      <w:r w:rsidR="00337CD5">
        <w:t>.  No information is provided on the confidence interval or the standard deviation</w:t>
      </w:r>
      <w:r w:rsidR="00337CD5">
        <w:rPr>
          <w:rStyle w:val="FootnoteReference"/>
        </w:rPr>
        <w:footnoteReference w:id="10"/>
      </w:r>
      <w:r w:rsidR="00337CD5">
        <w:t xml:space="preserve"> on any figure that Overseer produces.  </w:t>
      </w:r>
    </w:p>
    <w:p w:rsidR="00337CD5" w:rsidRDefault="00337CD5" w:rsidP="00337CD5">
      <w:pPr>
        <w:pStyle w:val="ListParagraph"/>
        <w:ind w:left="501"/>
      </w:pPr>
    </w:p>
    <w:p w:rsidR="00D8339A" w:rsidRDefault="00337CD5" w:rsidP="00F8173A">
      <w:pPr>
        <w:pStyle w:val="ListParagraph"/>
        <w:numPr>
          <w:ilvl w:val="0"/>
          <w:numId w:val="28"/>
        </w:numPr>
      </w:pPr>
      <w:r>
        <w:t>Overseer outputs cannot provide regulatory certainty on numbers of kilograms of nitrogen loss</w:t>
      </w:r>
      <w:r w:rsidR="00A6538E">
        <w:t>. This lack of certainty means it cannot be used for allocation purposes</w:t>
      </w:r>
      <w:r>
        <w:t xml:space="preserve">.  </w:t>
      </w:r>
    </w:p>
    <w:p w:rsidR="00337CD5" w:rsidRPr="00611249" w:rsidRDefault="00337CD5" w:rsidP="00337CD5">
      <w:pPr>
        <w:pStyle w:val="ListParagraph"/>
        <w:ind w:left="501"/>
        <w:rPr>
          <w:color w:val="000000" w:themeColor="text1"/>
        </w:rPr>
      </w:pPr>
    </w:p>
    <w:p w:rsidR="003F5503" w:rsidRPr="00611249" w:rsidRDefault="00BF336D" w:rsidP="00F8173A">
      <w:pPr>
        <w:pStyle w:val="ListParagraph"/>
        <w:numPr>
          <w:ilvl w:val="0"/>
          <w:numId w:val="28"/>
        </w:numPr>
        <w:rPr>
          <w:color w:val="000000" w:themeColor="text1"/>
        </w:rPr>
      </w:pPr>
      <w:r w:rsidRPr="00611249">
        <w:rPr>
          <w:color w:val="000000" w:themeColor="text1"/>
        </w:rPr>
        <w:t xml:space="preserve">BOPRC’s Overseer advisor told </w:t>
      </w:r>
      <w:r w:rsidR="003F5503" w:rsidRPr="00611249">
        <w:rPr>
          <w:color w:val="000000" w:themeColor="text1"/>
        </w:rPr>
        <w:t xml:space="preserve">Stag </w:t>
      </w:r>
      <w:r w:rsidRPr="00611249">
        <w:rPr>
          <w:color w:val="000000" w:themeColor="text1"/>
        </w:rPr>
        <w:t>in May 2015 that the i</w:t>
      </w:r>
      <w:r w:rsidR="003F5503" w:rsidRPr="00611249">
        <w:rPr>
          <w:color w:val="000000" w:themeColor="text1"/>
        </w:rPr>
        <w:t xml:space="preserve">ssue </w:t>
      </w:r>
      <w:r w:rsidR="00337CD5" w:rsidRPr="00611249">
        <w:rPr>
          <w:color w:val="000000" w:themeColor="text1"/>
        </w:rPr>
        <w:t xml:space="preserve">of results that </w:t>
      </w:r>
      <w:r w:rsidR="00337CD5" w:rsidRPr="00611249">
        <w:rPr>
          <w:i/>
          <w:color w:val="000000" w:themeColor="text1"/>
        </w:rPr>
        <w:t xml:space="preserve">change </w:t>
      </w:r>
      <w:r w:rsidR="009A1E2C" w:rsidRPr="00611249">
        <w:rPr>
          <w:i/>
          <w:color w:val="000000" w:themeColor="text1"/>
        </w:rPr>
        <w:t>i</w:t>
      </w:r>
      <w:r w:rsidR="003F5503" w:rsidRPr="00611249">
        <w:rPr>
          <w:i/>
          <w:color w:val="000000" w:themeColor="text1"/>
        </w:rPr>
        <w:t>s not necessarily OVERSEER®, it is often the science that is changing.</w:t>
      </w:r>
      <w:r w:rsidR="00337CD5" w:rsidRPr="00611249">
        <w:rPr>
          <w:color w:val="000000" w:themeColor="text1"/>
        </w:rPr>
        <w:t xml:space="preserve">  </w:t>
      </w:r>
      <w:r w:rsidR="009A1E2C" w:rsidRPr="00611249">
        <w:rPr>
          <w:color w:val="000000" w:themeColor="text1"/>
        </w:rPr>
        <w:t xml:space="preserve">This misses the point. It doesn’t matter if input </w:t>
      </w:r>
      <w:r w:rsidR="0091005A" w:rsidRPr="00611249">
        <w:rPr>
          <w:color w:val="000000" w:themeColor="text1"/>
        </w:rPr>
        <w:t>constants</w:t>
      </w:r>
      <w:r w:rsidR="009A1E2C" w:rsidRPr="00611249">
        <w:rPr>
          <w:color w:val="000000" w:themeColor="text1"/>
        </w:rPr>
        <w:t xml:space="preserve"> change (changes in the science)</w:t>
      </w:r>
      <w:r w:rsidR="003F5503" w:rsidRPr="00611249">
        <w:rPr>
          <w:color w:val="000000" w:themeColor="text1"/>
        </w:rPr>
        <w:t xml:space="preserve"> </w:t>
      </w:r>
      <w:r w:rsidR="0091005A" w:rsidRPr="00611249">
        <w:rPr>
          <w:color w:val="000000" w:themeColor="text1"/>
        </w:rPr>
        <w:t xml:space="preserve">or algorithm changes (how Overseer represents the pathways).  Either type of change means that the number it provides of the total N available to allocate is in a state of flux.   </w:t>
      </w:r>
      <w:r w:rsidR="003F5503" w:rsidRPr="00611249">
        <w:rPr>
          <w:color w:val="000000" w:themeColor="text1"/>
        </w:rPr>
        <w:t xml:space="preserve"> </w:t>
      </w:r>
      <w:r w:rsidR="0091005A" w:rsidRPr="00611249">
        <w:rPr>
          <w:color w:val="000000" w:themeColor="text1"/>
        </w:rPr>
        <w:t xml:space="preserve">Allocation requires certainty.  This model and </w:t>
      </w:r>
      <w:r w:rsidR="00611249">
        <w:rPr>
          <w:color w:val="000000" w:themeColor="text1"/>
        </w:rPr>
        <w:t xml:space="preserve">an </w:t>
      </w:r>
      <w:r w:rsidR="0091005A" w:rsidRPr="00611249">
        <w:rPr>
          <w:color w:val="000000" w:themeColor="text1"/>
        </w:rPr>
        <w:t xml:space="preserve">allocation </w:t>
      </w:r>
      <w:r w:rsidR="00611249">
        <w:rPr>
          <w:color w:val="000000" w:themeColor="text1"/>
        </w:rPr>
        <w:t xml:space="preserve">regime </w:t>
      </w:r>
      <w:r w:rsidR="0091005A" w:rsidRPr="00611249">
        <w:rPr>
          <w:color w:val="000000" w:themeColor="text1"/>
        </w:rPr>
        <w:t>are incompatible.</w:t>
      </w:r>
    </w:p>
    <w:p w:rsidR="00281562" w:rsidRPr="00611249" w:rsidRDefault="00281562" w:rsidP="00C15ABB">
      <w:pPr>
        <w:ind w:left="142"/>
        <w:rPr>
          <w:color w:val="000000" w:themeColor="text1"/>
        </w:rPr>
      </w:pPr>
    </w:p>
    <w:p w:rsidR="003D2BC8" w:rsidRDefault="00281562" w:rsidP="00F8173A">
      <w:pPr>
        <w:pStyle w:val="ListParagraph"/>
        <w:numPr>
          <w:ilvl w:val="0"/>
          <w:numId w:val="28"/>
        </w:numPr>
      </w:pPr>
      <w:r>
        <w:t xml:space="preserve">Arguments that other </w:t>
      </w:r>
      <w:r w:rsidR="000F3918">
        <w:t xml:space="preserve">councils </w:t>
      </w:r>
      <w:r>
        <w:t xml:space="preserve">have used </w:t>
      </w:r>
      <w:r w:rsidR="000F3918">
        <w:t>Overseer</w:t>
      </w:r>
      <w:r>
        <w:t xml:space="preserve"> </w:t>
      </w:r>
      <w:r w:rsidR="008F7F2E">
        <w:t xml:space="preserve">are irrelevant.  Arguments </w:t>
      </w:r>
      <w:r w:rsidR="0091005A">
        <w:t xml:space="preserve">pointing to responsible </w:t>
      </w:r>
      <w:r w:rsidR="008F7F2E">
        <w:t>governance and use</w:t>
      </w:r>
      <w:r w:rsidR="007003EC">
        <w:t>,</w:t>
      </w:r>
      <w:r w:rsidR="008F7F2E">
        <w:t xml:space="preserve"> </w:t>
      </w:r>
      <w:r w:rsidR="007003EC">
        <w:t xml:space="preserve">such as </w:t>
      </w:r>
      <w:r w:rsidR="000F3918">
        <w:t>“</w:t>
      </w:r>
      <w:r w:rsidR="00E64DA1">
        <w:t>model owners are committed to continuous improvement and training</w:t>
      </w:r>
      <w:r w:rsidR="000F3918">
        <w:t>”</w:t>
      </w:r>
      <w:r w:rsidR="008F7F2E">
        <w:t xml:space="preserve">, or that </w:t>
      </w:r>
      <w:r w:rsidR="000F3918">
        <w:t>“</w:t>
      </w:r>
      <w:r w:rsidR="008F7F2E">
        <w:t>they reference it to codes of practice</w:t>
      </w:r>
      <w:r w:rsidR="000F3918">
        <w:t>”</w:t>
      </w:r>
      <w:r w:rsidR="008F7F2E">
        <w:t xml:space="preserve"> are </w:t>
      </w:r>
      <w:r w:rsidR="007003EC">
        <w:t xml:space="preserve">irrelevant.  </w:t>
      </w:r>
      <w:r w:rsidR="0091005A">
        <w:t>It fundamentally is incapable of doing the job its being asked to do.</w:t>
      </w:r>
    </w:p>
    <w:p w:rsidR="003547A2" w:rsidRDefault="003547A2" w:rsidP="00C15ABB">
      <w:pPr>
        <w:ind w:left="142"/>
      </w:pPr>
    </w:p>
    <w:p w:rsidR="006B3B2F" w:rsidRPr="00007325" w:rsidRDefault="006B3B2F" w:rsidP="00094B5D">
      <w:pPr>
        <w:pStyle w:val="Heading1"/>
        <w:rPr>
          <w:rFonts w:asciiTheme="minorHAnsi" w:hAnsiTheme="minorHAnsi"/>
          <w:b/>
          <w:sz w:val="28"/>
          <w:szCs w:val="28"/>
        </w:rPr>
      </w:pPr>
      <w:bookmarkStart w:id="8" w:name="_Toc476575942"/>
      <w:r w:rsidRPr="00007325">
        <w:rPr>
          <w:rFonts w:asciiTheme="minorHAnsi" w:hAnsiTheme="minorHAnsi"/>
          <w:b/>
          <w:sz w:val="28"/>
          <w:szCs w:val="28"/>
        </w:rPr>
        <w:t>Plan effectiveness and efficiency assessment against criteria</w:t>
      </w:r>
      <w:bookmarkEnd w:id="8"/>
    </w:p>
    <w:p w:rsidR="00FE41C7" w:rsidRDefault="000330C7" w:rsidP="00F8173A">
      <w:pPr>
        <w:pStyle w:val="ListParagraph"/>
        <w:numPr>
          <w:ilvl w:val="0"/>
          <w:numId w:val="28"/>
        </w:numPr>
      </w:pPr>
      <w:r>
        <w:t>Our final section ask</w:t>
      </w:r>
      <w:r w:rsidR="00FE41C7">
        <w:t>s the same questions as th</w:t>
      </w:r>
      <w:r w:rsidR="007F51C3">
        <w:t>os</w:t>
      </w:r>
      <w:r w:rsidR="00FE41C7">
        <w:t xml:space="preserve">e </w:t>
      </w:r>
      <w:r w:rsidR="007F51C3">
        <w:t xml:space="preserve">asked in the </w:t>
      </w:r>
      <w:r w:rsidR="00FE41C7">
        <w:t>Council’s plann</w:t>
      </w:r>
      <w:r w:rsidR="00094B5D">
        <w:t>ing evidence</w:t>
      </w:r>
      <w:r w:rsidR="00FE41C7">
        <w:t>.</w:t>
      </w:r>
    </w:p>
    <w:p w:rsidR="00FE41C7" w:rsidRDefault="00FE41C7" w:rsidP="00FE41C7">
      <w:pPr>
        <w:pStyle w:val="ListParagraph"/>
        <w:ind w:left="502"/>
      </w:pPr>
    </w:p>
    <w:p w:rsidR="006B3B2F" w:rsidRPr="007F1880" w:rsidRDefault="006B3B2F" w:rsidP="007F1880">
      <w:pPr>
        <w:rPr>
          <w:b/>
          <w:sz w:val="24"/>
          <w:szCs w:val="24"/>
        </w:rPr>
      </w:pPr>
      <w:r w:rsidRPr="007F1880">
        <w:rPr>
          <w:b/>
          <w:sz w:val="24"/>
          <w:szCs w:val="24"/>
        </w:rPr>
        <w:t xml:space="preserve">Is </w:t>
      </w:r>
      <w:r w:rsidR="00FE41C7" w:rsidRPr="007F1880">
        <w:rPr>
          <w:b/>
          <w:sz w:val="24"/>
          <w:szCs w:val="24"/>
        </w:rPr>
        <w:t>the Plan</w:t>
      </w:r>
      <w:r w:rsidRPr="007F1880">
        <w:rPr>
          <w:b/>
          <w:sz w:val="24"/>
          <w:szCs w:val="24"/>
        </w:rPr>
        <w:t xml:space="preserve"> based on a robust platform of science? </w:t>
      </w:r>
    </w:p>
    <w:p w:rsidR="007F1880" w:rsidRDefault="0091005A" w:rsidP="00F8173A">
      <w:pPr>
        <w:pStyle w:val="Default"/>
        <w:numPr>
          <w:ilvl w:val="0"/>
          <w:numId w:val="28"/>
        </w:numPr>
        <w:rPr>
          <w:rFonts w:asciiTheme="minorHAnsi" w:hAnsiTheme="minorHAnsi"/>
          <w:sz w:val="22"/>
          <w:szCs w:val="22"/>
        </w:rPr>
      </w:pPr>
      <w:r>
        <w:rPr>
          <w:rFonts w:asciiTheme="minorHAnsi" w:hAnsiTheme="minorHAnsi"/>
          <w:sz w:val="22"/>
          <w:szCs w:val="22"/>
        </w:rPr>
        <w:t xml:space="preserve">Timberlands notes that </w:t>
      </w:r>
      <w:r w:rsidR="006B3B2F">
        <w:rPr>
          <w:rFonts w:asciiTheme="minorHAnsi" w:hAnsiTheme="minorHAnsi"/>
          <w:sz w:val="22"/>
          <w:szCs w:val="22"/>
        </w:rPr>
        <w:t>science analysis reli</w:t>
      </w:r>
      <w:r w:rsidR="00A40452">
        <w:rPr>
          <w:rFonts w:asciiTheme="minorHAnsi" w:hAnsiTheme="minorHAnsi"/>
          <w:sz w:val="22"/>
          <w:szCs w:val="22"/>
        </w:rPr>
        <w:t xml:space="preserve">es very heavily </w:t>
      </w:r>
      <w:r w:rsidR="006B3B2F">
        <w:rPr>
          <w:rFonts w:asciiTheme="minorHAnsi" w:hAnsiTheme="minorHAnsi"/>
          <w:sz w:val="22"/>
          <w:szCs w:val="22"/>
        </w:rPr>
        <w:t xml:space="preserve">on the model “Overseer” to characterise individual property N emissions.  This </w:t>
      </w:r>
      <w:r w:rsidR="000330C7">
        <w:rPr>
          <w:rFonts w:asciiTheme="minorHAnsi" w:hAnsiTheme="minorHAnsi"/>
          <w:sz w:val="22"/>
          <w:szCs w:val="22"/>
        </w:rPr>
        <w:t xml:space="preserve">does not describe </w:t>
      </w:r>
      <w:r w:rsidR="006B3B2F">
        <w:rPr>
          <w:rFonts w:asciiTheme="minorHAnsi" w:hAnsiTheme="minorHAnsi"/>
          <w:sz w:val="22"/>
          <w:szCs w:val="22"/>
        </w:rPr>
        <w:t>the grave limitations of th</w:t>
      </w:r>
      <w:r w:rsidR="009779A2">
        <w:rPr>
          <w:rFonts w:asciiTheme="minorHAnsi" w:hAnsiTheme="minorHAnsi"/>
          <w:sz w:val="22"/>
          <w:szCs w:val="22"/>
        </w:rPr>
        <w:t xml:space="preserve">e Overseer </w:t>
      </w:r>
      <w:r w:rsidR="006B3B2F">
        <w:rPr>
          <w:rFonts w:asciiTheme="minorHAnsi" w:hAnsiTheme="minorHAnsi"/>
          <w:sz w:val="22"/>
          <w:szCs w:val="22"/>
        </w:rPr>
        <w:t xml:space="preserve">model to </w:t>
      </w:r>
      <w:r w:rsidR="007F51C3">
        <w:rPr>
          <w:rFonts w:asciiTheme="minorHAnsi" w:hAnsiTheme="minorHAnsi"/>
          <w:sz w:val="22"/>
          <w:szCs w:val="22"/>
        </w:rPr>
        <w:t xml:space="preserve">precisely or </w:t>
      </w:r>
      <w:r w:rsidR="006B3B2F">
        <w:rPr>
          <w:rFonts w:asciiTheme="minorHAnsi" w:hAnsiTheme="minorHAnsi"/>
          <w:sz w:val="22"/>
          <w:szCs w:val="22"/>
        </w:rPr>
        <w:t>accurately model N stocks and flows</w:t>
      </w:r>
      <w:r w:rsidR="009779A2">
        <w:rPr>
          <w:rFonts w:asciiTheme="minorHAnsi" w:hAnsiTheme="minorHAnsi"/>
          <w:sz w:val="22"/>
          <w:szCs w:val="22"/>
        </w:rPr>
        <w:t xml:space="preserve">.  The science supporting the use of this model is still developing.  Monitoring of real soils, real vegetation and real N flows has not been done for many of the soils in the Rotorua catchment, thus modelling is </w:t>
      </w:r>
      <w:r w:rsidR="000330C7">
        <w:rPr>
          <w:rFonts w:asciiTheme="minorHAnsi" w:hAnsiTheme="minorHAnsi"/>
          <w:sz w:val="22"/>
          <w:szCs w:val="22"/>
        </w:rPr>
        <w:t xml:space="preserve">yet to be validated and is </w:t>
      </w:r>
      <w:r w:rsidR="009779A2">
        <w:rPr>
          <w:rFonts w:asciiTheme="minorHAnsi" w:hAnsiTheme="minorHAnsi"/>
          <w:sz w:val="22"/>
          <w:szCs w:val="22"/>
        </w:rPr>
        <w:t xml:space="preserve">still unsupported by appropriate science.  </w:t>
      </w:r>
      <w:r w:rsidR="003F2E92">
        <w:rPr>
          <w:rFonts w:asciiTheme="minorHAnsi" w:hAnsiTheme="minorHAnsi"/>
          <w:sz w:val="22"/>
          <w:szCs w:val="22"/>
        </w:rPr>
        <w:t xml:space="preserve">This </w:t>
      </w:r>
      <w:r w:rsidR="006B3B2F">
        <w:rPr>
          <w:rFonts w:asciiTheme="minorHAnsi" w:hAnsiTheme="minorHAnsi"/>
          <w:sz w:val="22"/>
          <w:szCs w:val="22"/>
        </w:rPr>
        <w:t>has led to inappropriate policy choices at macro and micro level.</w:t>
      </w:r>
    </w:p>
    <w:p w:rsidR="007F1880" w:rsidRDefault="007F1880" w:rsidP="007F1880">
      <w:pPr>
        <w:pStyle w:val="Default"/>
        <w:ind w:left="501"/>
        <w:rPr>
          <w:rFonts w:asciiTheme="minorHAnsi" w:hAnsiTheme="minorHAnsi"/>
          <w:sz w:val="22"/>
          <w:szCs w:val="22"/>
        </w:rPr>
      </w:pPr>
    </w:p>
    <w:p w:rsidR="006B3B2F" w:rsidRPr="007F1880" w:rsidRDefault="006B3B2F" w:rsidP="007F1880">
      <w:pPr>
        <w:rPr>
          <w:b/>
          <w:sz w:val="24"/>
          <w:szCs w:val="24"/>
        </w:rPr>
      </w:pPr>
      <w:r w:rsidRPr="007F1880">
        <w:rPr>
          <w:b/>
          <w:sz w:val="24"/>
          <w:szCs w:val="24"/>
        </w:rPr>
        <w:t>Is it a result of credible and reasonable choices between options – both at a macro and micro level?</w:t>
      </w:r>
    </w:p>
    <w:p w:rsidR="007F1880" w:rsidRPr="007F1880" w:rsidRDefault="007F1880" w:rsidP="007F1880"/>
    <w:p w:rsidR="006B3B2F" w:rsidRDefault="006B3B2F" w:rsidP="00F8173A">
      <w:pPr>
        <w:pStyle w:val="Default"/>
        <w:numPr>
          <w:ilvl w:val="0"/>
          <w:numId w:val="28"/>
        </w:numPr>
        <w:rPr>
          <w:rFonts w:asciiTheme="minorHAnsi" w:hAnsiTheme="minorHAnsi"/>
          <w:sz w:val="22"/>
          <w:szCs w:val="22"/>
        </w:rPr>
      </w:pPr>
      <w:r>
        <w:rPr>
          <w:rFonts w:asciiTheme="minorHAnsi" w:hAnsiTheme="minorHAnsi"/>
          <w:sz w:val="22"/>
          <w:szCs w:val="22"/>
        </w:rPr>
        <w:t>We contend that Council</w:t>
      </w:r>
      <w:r w:rsidR="009779A2">
        <w:rPr>
          <w:rFonts w:asciiTheme="minorHAnsi" w:hAnsiTheme="minorHAnsi"/>
          <w:sz w:val="22"/>
          <w:szCs w:val="22"/>
        </w:rPr>
        <w:t xml:space="preserve">’s </w:t>
      </w:r>
      <w:r>
        <w:rPr>
          <w:rFonts w:asciiTheme="minorHAnsi" w:hAnsiTheme="minorHAnsi"/>
          <w:sz w:val="22"/>
          <w:szCs w:val="22"/>
        </w:rPr>
        <w:t>macro level</w:t>
      </w:r>
      <w:r w:rsidR="009779A2">
        <w:rPr>
          <w:rFonts w:asciiTheme="minorHAnsi" w:hAnsiTheme="minorHAnsi"/>
          <w:sz w:val="22"/>
          <w:szCs w:val="22"/>
        </w:rPr>
        <w:t xml:space="preserve"> </w:t>
      </w:r>
      <w:r w:rsidR="00A04231">
        <w:rPr>
          <w:rFonts w:asciiTheme="minorHAnsi" w:hAnsiTheme="minorHAnsi"/>
          <w:sz w:val="22"/>
          <w:szCs w:val="22"/>
        </w:rPr>
        <w:t xml:space="preserve">choices </w:t>
      </w:r>
      <w:r w:rsidR="009779A2">
        <w:rPr>
          <w:rFonts w:asciiTheme="minorHAnsi" w:hAnsiTheme="minorHAnsi"/>
          <w:sz w:val="22"/>
          <w:szCs w:val="22"/>
        </w:rPr>
        <w:t xml:space="preserve">for </w:t>
      </w:r>
      <w:r>
        <w:rPr>
          <w:rFonts w:asciiTheme="minorHAnsi" w:hAnsiTheme="minorHAnsi"/>
          <w:sz w:val="22"/>
          <w:szCs w:val="22"/>
        </w:rPr>
        <w:t xml:space="preserve">the policy framework </w:t>
      </w:r>
      <w:r w:rsidR="009779A2">
        <w:rPr>
          <w:rFonts w:asciiTheme="minorHAnsi" w:hAnsiTheme="minorHAnsi"/>
          <w:sz w:val="22"/>
          <w:szCs w:val="22"/>
        </w:rPr>
        <w:t>and</w:t>
      </w:r>
      <w:r>
        <w:rPr>
          <w:rFonts w:asciiTheme="minorHAnsi" w:hAnsiTheme="minorHAnsi"/>
          <w:sz w:val="22"/>
          <w:szCs w:val="22"/>
        </w:rPr>
        <w:t xml:space="preserve"> </w:t>
      </w:r>
      <w:r w:rsidR="00A04231">
        <w:rPr>
          <w:rFonts w:asciiTheme="minorHAnsi" w:hAnsiTheme="minorHAnsi"/>
          <w:sz w:val="22"/>
          <w:szCs w:val="22"/>
        </w:rPr>
        <w:t>for</w:t>
      </w:r>
      <w:r>
        <w:rPr>
          <w:rFonts w:asciiTheme="minorHAnsi" w:hAnsiTheme="minorHAnsi"/>
          <w:sz w:val="22"/>
          <w:szCs w:val="22"/>
        </w:rPr>
        <w:t xml:space="preserve"> the process used to develop that policy framework into rules for the Rotorua lakes</w:t>
      </w:r>
      <w:r w:rsidR="009779A2">
        <w:rPr>
          <w:rFonts w:asciiTheme="minorHAnsi" w:hAnsiTheme="minorHAnsi"/>
          <w:sz w:val="22"/>
          <w:szCs w:val="22"/>
        </w:rPr>
        <w:t xml:space="preserve"> were not credible or reasonable</w:t>
      </w:r>
      <w:r>
        <w:rPr>
          <w:rFonts w:asciiTheme="minorHAnsi" w:hAnsiTheme="minorHAnsi"/>
          <w:sz w:val="22"/>
          <w:szCs w:val="22"/>
        </w:rPr>
        <w:t xml:space="preserve">.  </w:t>
      </w:r>
    </w:p>
    <w:p w:rsidR="006B3B2F" w:rsidRDefault="006B3B2F" w:rsidP="00C15ABB">
      <w:pPr>
        <w:pStyle w:val="Default"/>
        <w:ind w:left="142"/>
        <w:rPr>
          <w:rFonts w:asciiTheme="minorHAnsi" w:hAnsiTheme="minorHAnsi"/>
          <w:sz w:val="22"/>
          <w:szCs w:val="22"/>
        </w:rPr>
      </w:pPr>
    </w:p>
    <w:p w:rsidR="00672DCC" w:rsidRPr="001E058A" w:rsidRDefault="006B3B2F" w:rsidP="00F8173A">
      <w:pPr>
        <w:pStyle w:val="Default"/>
        <w:numPr>
          <w:ilvl w:val="0"/>
          <w:numId w:val="28"/>
        </w:numPr>
        <w:rPr>
          <w:rFonts w:asciiTheme="minorHAnsi" w:hAnsiTheme="minorHAnsi"/>
          <w:sz w:val="22"/>
          <w:szCs w:val="22"/>
        </w:rPr>
      </w:pPr>
      <w:r>
        <w:rPr>
          <w:rFonts w:asciiTheme="minorHAnsi" w:hAnsiTheme="minorHAnsi"/>
          <w:sz w:val="22"/>
          <w:szCs w:val="22"/>
        </w:rPr>
        <w:t xml:space="preserve">Council very early on chose Cap, Allocate and Trade because </w:t>
      </w:r>
      <w:r w:rsidR="006B1FD9">
        <w:rPr>
          <w:rFonts w:asciiTheme="minorHAnsi" w:hAnsiTheme="minorHAnsi"/>
          <w:sz w:val="22"/>
          <w:szCs w:val="22"/>
        </w:rPr>
        <w:t>they had to meet a</w:t>
      </w:r>
      <w:r>
        <w:rPr>
          <w:rFonts w:asciiTheme="minorHAnsi" w:hAnsiTheme="minorHAnsi"/>
          <w:sz w:val="22"/>
          <w:szCs w:val="22"/>
        </w:rPr>
        <w:t xml:space="preserve"> </w:t>
      </w:r>
      <w:r w:rsidR="00397E12">
        <w:rPr>
          <w:rFonts w:asciiTheme="minorHAnsi" w:hAnsiTheme="minorHAnsi"/>
          <w:sz w:val="22"/>
          <w:szCs w:val="22"/>
        </w:rPr>
        <w:t xml:space="preserve">particular </w:t>
      </w:r>
      <w:r w:rsidR="003F2E92">
        <w:rPr>
          <w:rFonts w:asciiTheme="minorHAnsi" w:hAnsiTheme="minorHAnsi"/>
          <w:sz w:val="22"/>
          <w:szCs w:val="22"/>
        </w:rPr>
        <w:t xml:space="preserve">numeric </w:t>
      </w:r>
      <w:r>
        <w:rPr>
          <w:rFonts w:asciiTheme="minorHAnsi" w:hAnsiTheme="minorHAnsi"/>
          <w:sz w:val="22"/>
          <w:szCs w:val="22"/>
        </w:rPr>
        <w:t>goal</w:t>
      </w:r>
      <w:r w:rsidR="006B1FD9">
        <w:rPr>
          <w:rFonts w:asciiTheme="minorHAnsi" w:hAnsiTheme="minorHAnsi"/>
          <w:sz w:val="22"/>
          <w:szCs w:val="22"/>
        </w:rPr>
        <w:t xml:space="preserve">. Having made that choice, immense effort was put into trying </w:t>
      </w:r>
      <w:r w:rsidR="001E058A">
        <w:rPr>
          <w:rFonts w:asciiTheme="minorHAnsi" w:hAnsiTheme="minorHAnsi"/>
          <w:sz w:val="22"/>
          <w:szCs w:val="22"/>
        </w:rPr>
        <w:t>to</w:t>
      </w:r>
      <w:r w:rsidR="006B1FD9">
        <w:rPr>
          <w:rFonts w:asciiTheme="minorHAnsi" w:hAnsiTheme="minorHAnsi"/>
          <w:sz w:val="22"/>
          <w:szCs w:val="22"/>
        </w:rPr>
        <w:t xml:space="preserve"> </w:t>
      </w:r>
      <w:r w:rsidR="00A04231">
        <w:rPr>
          <w:rFonts w:asciiTheme="minorHAnsi" w:hAnsiTheme="minorHAnsi"/>
          <w:sz w:val="22"/>
          <w:szCs w:val="22"/>
        </w:rPr>
        <w:t xml:space="preserve">accurately </w:t>
      </w:r>
      <w:r w:rsidR="001E058A">
        <w:rPr>
          <w:rFonts w:asciiTheme="minorHAnsi" w:hAnsiTheme="minorHAnsi"/>
          <w:sz w:val="22"/>
          <w:szCs w:val="22"/>
        </w:rPr>
        <w:t xml:space="preserve">ascribe </w:t>
      </w:r>
      <w:r w:rsidR="005F029F">
        <w:rPr>
          <w:rFonts w:asciiTheme="minorHAnsi" w:hAnsiTheme="minorHAnsi"/>
          <w:sz w:val="22"/>
          <w:szCs w:val="22"/>
        </w:rPr>
        <w:t xml:space="preserve">N </w:t>
      </w:r>
      <w:r w:rsidR="001E058A">
        <w:rPr>
          <w:rFonts w:asciiTheme="minorHAnsi" w:hAnsiTheme="minorHAnsi"/>
          <w:sz w:val="22"/>
          <w:szCs w:val="22"/>
        </w:rPr>
        <w:t xml:space="preserve">loss on a </w:t>
      </w:r>
      <w:r w:rsidR="005F029F">
        <w:rPr>
          <w:rFonts w:asciiTheme="minorHAnsi" w:hAnsiTheme="minorHAnsi"/>
          <w:sz w:val="22"/>
          <w:szCs w:val="22"/>
        </w:rPr>
        <w:t>per property</w:t>
      </w:r>
      <w:r w:rsidR="001E058A">
        <w:rPr>
          <w:rFonts w:asciiTheme="minorHAnsi" w:hAnsiTheme="minorHAnsi"/>
          <w:sz w:val="22"/>
          <w:szCs w:val="22"/>
        </w:rPr>
        <w:t xml:space="preserve"> basis</w:t>
      </w:r>
      <w:r w:rsidR="005F029F">
        <w:rPr>
          <w:rFonts w:asciiTheme="minorHAnsi" w:hAnsiTheme="minorHAnsi"/>
          <w:sz w:val="22"/>
          <w:szCs w:val="22"/>
        </w:rPr>
        <w:t xml:space="preserve">.  </w:t>
      </w:r>
      <w:r w:rsidR="000330C7">
        <w:rPr>
          <w:rFonts w:asciiTheme="minorHAnsi" w:hAnsiTheme="minorHAnsi"/>
          <w:sz w:val="22"/>
          <w:szCs w:val="22"/>
        </w:rPr>
        <w:t>To be able to accurately allocate portions of any allocation to various parties</w:t>
      </w:r>
      <w:r w:rsidR="00672DCC">
        <w:rPr>
          <w:rFonts w:asciiTheme="minorHAnsi" w:hAnsiTheme="minorHAnsi"/>
          <w:sz w:val="22"/>
          <w:szCs w:val="22"/>
        </w:rPr>
        <w:t xml:space="preserve"> demands accurate measurement of the portfolio of pollution contributions.   </w:t>
      </w:r>
      <w:r w:rsidR="00A04231">
        <w:rPr>
          <w:rFonts w:asciiTheme="minorHAnsi" w:hAnsiTheme="minorHAnsi"/>
          <w:sz w:val="22"/>
          <w:szCs w:val="22"/>
        </w:rPr>
        <w:t>However th</w:t>
      </w:r>
      <w:r w:rsidR="00844102">
        <w:rPr>
          <w:rFonts w:asciiTheme="minorHAnsi" w:hAnsiTheme="minorHAnsi"/>
          <w:sz w:val="22"/>
          <w:szCs w:val="22"/>
        </w:rPr>
        <w:t xml:space="preserve">e model used (Overseer) can’t generate repeatable assessments of nitrogen </w:t>
      </w:r>
      <w:r w:rsidR="00C41C2B">
        <w:rPr>
          <w:rFonts w:asciiTheme="minorHAnsi" w:hAnsiTheme="minorHAnsi"/>
          <w:sz w:val="22"/>
          <w:szCs w:val="22"/>
        </w:rPr>
        <w:t>exports</w:t>
      </w:r>
      <w:r w:rsidR="00844102">
        <w:rPr>
          <w:rFonts w:asciiTheme="minorHAnsi" w:hAnsiTheme="minorHAnsi"/>
          <w:sz w:val="22"/>
          <w:szCs w:val="22"/>
        </w:rPr>
        <w:t xml:space="preserve"> on an individual property basis.  </w:t>
      </w:r>
      <w:r w:rsidR="000330C7">
        <w:rPr>
          <w:rFonts w:asciiTheme="minorHAnsi" w:hAnsiTheme="minorHAnsi"/>
          <w:sz w:val="22"/>
          <w:szCs w:val="22"/>
        </w:rPr>
        <w:t>These s</w:t>
      </w:r>
      <w:r w:rsidR="001E058A">
        <w:rPr>
          <w:rFonts w:asciiTheme="minorHAnsi" w:hAnsiTheme="minorHAnsi"/>
          <w:sz w:val="22"/>
          <w:szCs w:val="22"/>
        </w:rPr>
        <w:t xml:space="preserve">ignificant limitations </w:t>
      </w:r>
      <w:r w:rsidR="00A04231">
        <w:rPr>
          <w:rFonts w:asciiTheme="minorHAnsi" w:hAnsiTheme="minorHAnsi"/>
          <w:sz w:val="22"/>
          <w:szCs w:val="22"/>
        </w:rPr>
        <w:t>on</w:t>
      </w:r>
      <w:r w:rsidR="001E058A">
        <w:rPr>
          <w:rFonts w:asciiTheme="minorHAnsi" w:hAnsiTheme="minorHAnsi"/>
          <w:sz w:val="22"/>
          <w:szCs w:val="22"/>
        </w:rPr>
        <w:t xml:space="preserve"> accuracy coupled with doubts about its construct and assumptions (in part because the model owners will not allow independent scrutiny) make it an inappropriate platform for making multi-million dollar allocation decisions.  Policy must match the tools available to implement it.  An inability to provide the data necessary for the policy </w:t>
      </w:r>
      <w:r w:rsidR="000330C7">
        <w:rPr>
          <w:rFonts w:asciiTheme="minorHAnsi" w:hAnsiTheme="minorHAnsi"/>
          <w:sz w:val="22"/>
          <w:szCs w:val="22"/>
        </w:rPr>
        <w:t xml:space="preserve">regime </w:t>
      </w:r>
      <w:r w:rsidR="001E058A">
        <w:rPr>
          <w:rFonts w:asciiTheme="minorHAnsi" w:hAnsiTheme="minorHAnsi"/>
          <w:sz w:val="22"/>
          <w:szCs w:val="22"/>
        </w:rPr>
        <w:t xml:space="preserve">to function means the allocation policy lacks the tools to implement it.   </w:t>
      </w:r>
    </w:p>
    <w:p w:rsidR="00672DCC" w:rsidRDefault="00672DCC" w:rsidP="00672DCC">
      <w:pPr>
        <w:pStyle w:val="Default"/>
        <w:ind w:left="501"/>
        <w:rPr>
          <w:rFonts w:asciiTheme="minorHAnsi" w:hAnsiTheme="minorHAnsi"/>
          <w:sz w:val="22"/>
          <w:szCs w:val="22"/>
        </w:rPr>
      </w:pPr>
    </w:p>
    <w:p w:rsidR="006B3B2F" w:rsidRDefault="00672DCC" w:rsidP="00F8173A">
      <w:pPr>
        <w:pStyle w:val="Default"/>
        <w:numPr>
          <w:ilvl w:val="0"/>
          <w:numId w:val="28"/>
        </w:numPr>
        <w:rPr>
          <w:rFonts w:asciiTheme="minorHAnsi" w:hAnsiTheme="minorHAnsi"/>
          <w:sz w:val="22"/>
          <w:szCs w:val="22"/>
        </w:rPr>
      </w:pPr>
      <w:r>
        <w:rPr>
          <w:rFonts w:asciiTheme="minorHAnsi" w:hAnsiTheme="minorHAnsi"/>
          <w:sz w:val="22"/>
          <w:szCs w:val="22"/>
        </w:rPr>
        <w:t>It appears that at no point did Council step back and identify that they had taken on an impossible task</w:t>
      </w:r>
      <w:r w:rsidR="00FC0F17">
        <w:rPr>
          <w:rFonts w:asciiTheme="minorHAnsi" w:hAnsiTheme="minorHAnsi"/>
          <w:sz w:val="22"/>
          <w:szCs w:val="22"/>
        </w:rPr>
        <w:t>,</w:t>
      </w:r>
      <w:r>
        <w:rPr>
          <w:rFonts w:asciiTheme="minorHAnsi" w:hAnsiTheme="minorHAnsi"/>
          <w:sz w:val="22"/>
          <w:szCs w:val="22"/>
        </w:rPr>
        <w:t xml:space="preserve"> and it would be better to rethink the </w:t>
      </w:r>
      <w:r w:rsidR="00844102">
        <w:rPr>
          <w:rFonts w:asciiTheme="minorHAnsi" w:hAnsiTheme="minorHAnsi"/>
          <w:sz w:val="22"/>
          <w:szCs w:val="22"/>
        </w:rPr>
        <w:t>policy approach</w:t>
      </w:r>
      <w:r>
        <w:rPr>
          <w:rFonts w:asciiTheme="minorHAnsi" w:hAnsiTheme="minorHAnsi"/>
          <w:sz w:val="22"/>
          <w:szCs w:val="22"/>
        </w:rPr>
        <w:t xml:space="preserve">.  </w:t>
      </w:r>
      <w:r w:rsidR="006B3B2F">
        <w:rPr>
          <w:rFonts w:asciiTheme="minorHAnsi" w:hAnsiTheme="minorHAnsi"/>
          <w:sz w:val="22"/>
          <w:szCs w:val="22"/>
        </w:rPr>
        <w:t xml:space="preserve">If the tools </w:t>
      </w:r>
      <w:r w:rsidR="00844102">
        <w:rPr>
          <w:rFonts w:asciiTheme="minorHAnsi" w:hAnsiTheme="minorHAnsi"/>
          <w:sz w:val="22"/>
          <w:szCs w:val="22"/>
        </w:rPr>
        <w:t xml:space="preserve">available can only </w:t>
      </w:r>
      <w:r w:rsidR="006B3B2F">
        <w:rPr>
          <w:rFonts w:asciiTheme="minorHAnsi" w:hAnsiTheme="minorHAnsi"/>
          <w:sz w:val="22"/>
          <w:szCs w:val="22"/>
        </w:rPr>
        <w:t xml:space="preserve">provide a </w:t>
      </w:r>
      <w:r w:rsidR="00FC0F17">
        <w:rPr>
          <w:rFonts w:asciiTheme="minorHAnsi" w:hAnsiTheme="minorHAnsi"/>
          <w:sz w:val="22"/>
          <w:szCs w:val="22"/>
        </w:rPr>
        <w:t>coarse</w:t>
      </w:r>
      <w:r w:rsidR="006B3B2F">
        <w:rPr>
          <w:rFonts w:asciiTheme="minorHAnsi" w:hAnsiTheme="minorHAnsi"/>
          <w:sz w:val="22"/>
          <w:szCs w:val="22"/>
        </w:rPr>
        <w:t xml:space="preserve"> analysis of the pollution portfolio, the policy must </w:t>
      </w:r>
      <w:r w:rsidR="00844102">
        <w:rPr>
          <w:rFonts w:asciiTheme="minorHAnsi" w:hAnsiTheme="minorHAnsi"/>
          <w:sz w:val="22"/>
          <w:szCs w:val="22"/>
        </w:rPr>
        <w:t xml:space="preserve">be designed to </w:t>
      </w:r>
      <w:r w:rsidR="006B3B2F">
        <w:rPr>
          <w:rFonts w:asciiTheme="minorHAnsi" w:hAnsiTheme="minorHAnsi"/>
          <w:sz w:val="22"/>
          <w:szCs w:val="22"/>
        </w:rPr>
        <w:t xml:space="preserve">respond to </w:t>
      </w:r>
      <w:r w:rsidR="00FC0F17">
        <w:rPr>
          <w:rFonts w:asciiTheme="minorHAnsi" w:hAnsiTheme="minorHAnsi"/>
          <w:sz w:val="22"/>
          <w:szCs w:val="22"/>
        </w:rPr>
        <w:t>a coarse</w:t>
      </w:r>
      <w:r w:rsidR="006B3B2F">
        <w:rPr>
          <w:rFonts w:asciiTheme="minorHAnsi" w:hAnsiTheme="minorHAnsi"/>
          <w:sz w:val="22"/>
          <w:szCs w:val="22"/>
        </w:rPr>
        <w:t xml:space="preserve"> quality of </w:t>
      </w:r>
      <w:r w:rsidR="00FC0F17">
        <w:rPr>
          <w:rFonts w:asciiTheme="minorHAnsi" w:hAnsiTheme="minorHAnsi"/>
          <w:sz w:val="22"/>
          <w:szCs w:val="22"/>
        </w:rPr>
        <w:t>data</w:t>
      </w:r>
      <w:r w:rsidR="006B3B2F">
        <w:rPr>
          <w:rFonts w:asciiTheme="minorHAnsi" w:hAnsiTheme="minorHAnsi"/>
          <w:sz w:val="22"/>
          <w:szCs w:val="22"/>
        </w:rPr>
        <w:t xml:space="preserve">.  Policy </w:t>
      </w:r>
      <w:r w:rsidR="00397E12">
        <w:rPr>
          <w:rFonts w:asciiTheme="minorHAnsi" w:hAnsiTheme="minorHAnsi"/>
          <w:sz w:val="22"/>
          <w:szCs w:val="22"/>
        </w:rPr>
        <w:t xml:space="preserve">that </w:t>
      </w:r>
      <w:r w:rsidR="00844102">
        <w:rPr>
          <w:rFonts w:asciiTheme="minorHAnsi" w:hAnsiTheme="minorHAnsi"/>
          <w:sz w:val="22"/>
          <w:szCs w:val="22"/>
        </w:rPr>
        <w:t xml:space="preserve">requires accurate and </w:t>
      </w:r>
      <w:r w:rsidR="006B3B2F">
        <w:rPr>
          <w:rFonts w:asciiTheme="minorHAnsi" w:hAnsiTheme="minorHAnsi"/>
          <w:sz w:val="22"/>
          <w:szCs w:val="22"/>
        </w:rPr>
        <w:t xml:space="preserve">detailed </w:t>
      </w:r>
      <w:r w:rsidR="00FC0F17">
        <w:rPr>
          <w:rFonts w:asciiTheme="minorHAnsi" w:hAnsiTheme="minorHAnsi"/>
          <w:sz w:val="22"/>
          <w:szCs w:val="22"/>
        </w:rPr>
        <w:t xml:space="preserve">data </w:t>
      </w:r>
      <w:r w:rsidR="00397E12">
        <w:rPr>
          <w:rFonts w:asciiTheme="minorHAnsi" w:hAnsiTheme="minorHAnsi"/>
          <w:sz w:val="22"/>
          <w:szCs w:val="22"/>
        </w:rPr>
        <w:t xml:space="preserve">cannot work </w:t>
      </w:r>
      <w:r w:rsidR="006B3B2F">
        <w:rPr>
          <w:rFonts w:asciiTheme="minorHAnsi" w:hAnsiTheme="minorHAnsi"/>
          <w:sz w:val="22"/>
          <w:szCs w:val="22"/>
        </w:rPr>
        <w:t xml:space="preserve">with </w:t>
      </w:r>
      <w:r w:rsidR="00844102">
        <w:rPr>
          <w:rFonts w:asciiTheme="minorHAnsi" w:hAnsiTheme="minorHAnsi"/>
          <w:sz w:val="22"/>
          <w:szCs w:val="22"/>
        </w:rPr>
        <w:t xml:space="preserve">tools that can only provide a rough </w:t>
      </w:r>
      <w:r w:rsidR="00397E12">
        <w:rPr>
          <w:rFonts w:asciiTheme="minorHAnsi" w:hAnsiTheme="minorHAnsi"/>
          <w:sz w:val="22"/>
          <w:szCs w:val="22"/>
        </w:rPr>
        <w:t>indication.</w:t>
      </w:r>
      <w:r>
        <w:rPr>
          <w:rFonts w:asciiTheme="minorHAnsi" w:hAnsiTheme="minorHAnsi"/>
          <w:sz w:val="22"/>
          <w:szCs w:val="22"/>
        </w:rPr>
        <w:t xml:space="preserve"> </w:t>
      </w:r>
      <w:r w:rsidR="00844102">
        <w:rPr>
          <w:rFonts w:asciiTheme="minorHAnsi" w:hAnsiTheme="minorHAnsi"/>
          <w:sz w:val="22"/>
          <w:szCs w:val="22"/>
        </w:rPr>
        <w:t xml:space="preserve"> </w:t>
      </w:r>
      <w:r>
        <w:rPr>
          <w:rFonts w:asciiTheme="minorHAnsi" w:hAnsiTheme="minorHAnsi"/>
          <w:sz w:val="22"/>
          <w:szCs w:val="22"/>
        </w:rPr>
        <w:t xml:space="preserve">It appears that </w:t>
      </w:r>
      <w:r w:rsidR="00844102">
        <w:rPr>
          <w:rFonts w:asciiTheme="minorHAnsi" w:hAnsiTheme="minorHAnsi"/>
          <w:sz w:val="22"/>
          <w:szCs w:val="22"/>
        </w:rPr>
        <w:t xml:space="preserve">the effect that </w:t>
      </w:r>
      <w:r w:rsidR="00D3297C">
        <w:rPr>
          <w:rFonts w:asciiTheme="minorHAnsi" w:hAnsiTheme="minorHAnsi"/>
          <w:sz w:val="22"/>
          <w:szCs w:val="22"/>
        </w:rPr>
        <w:t xml:space="preserve">the </w:t>
      </w:r>
      <w:r w:rsidR="00FC0F17">
        <w:rPr>
          <w:rFonts w:asciiTheme="minorHAnsi" w:hAnsiTheme="minorHAnsi"/>
          <w:sz w:val="22"/>
          <w:szCs w:val="22"/>
        </w:rPr>
        <w:t xml:space="preserve">tool </w:t>
      </w:r>
      <w:r w:rsidR="00844102">
        <w:rPr>
          <w:rFonts w:asciiTheme="minorHAnsi" w:hAnsiTheme="minorHAnsi"/>
          <w:sz w:val="22"/>
          <w:szCs w:val="22"/>
        </w:rPr>
        <w:t xml:space="preserve">inaccuracy had was to </w:t>
      </w:r>
      <w:r w:rsidR="00FC0F17">
        <w:rPr>
          <w:rFonts w:asciiTheme="minorHAnsi" w:hAnsiTheme="minorHAnsi"/>
          <w:sz w:val="22"/>
          <w:szCs w:val="22"/>
        </w:rPr>
        <w:t>invert th</w:t>
      </w:r>
      <w:r w:rsidR="00D3297C">
        <w:rPr>
          <w:rFonts w:asciiTheme="minorHAnsi" w:hAnsiTheme="minorHAnsi"/>
          <w:sz w:val="22"/>
          <w:szCs w:val="22"/>
        </w:rPr>
        <w:t>at</w:t>
      </w:r>
      <w:r w:rsidR="00FC0F17">
        <w:rPr>
          <w:rFonts w:asciiTheme="minorHAnsi" w:hAnsiTheme="minorHAnsi"/>
          <w:sz w:val="22"/>
          <w:szCs w:val="22"/>
        </w:rPr>
        <w:t xml:space="preserve"> policy design</w:t>
      </w:r>
      <w:r w:rsidR="00D3297C">
        <w:rPr>
          <w:rFonts w:asciiTheme="minorHAnsi" w:hAnsiTheme="minorHAnsi"/>
          <w:sz w:val="22"/>
          <w:szCs w:val="22"/>
        </w:rPr>
        <w:t xml:space="preserve"> matching </w:t>
      </w:r>
      <w:r w:rsidR="00FC0F17">
        <w:rPr>
          <w:rFonts w:asciiTheme="minorHAnsi" w:hAnsiTheme="minorHAnsi"/>
          <w:sz w:val="22"/>
          <w:szCs w:val="22"/>
        </w:rPr>
        <w:t>process</w:t>
      </w:r>
      <w:r w:rsidR="001019E0">
        <w:rPr>
          <w:rFonts w:asciiTheme="minorHAnsi" w:hAnsiTheme="minorHAnsi"/>
          <w:sz w:val="22"/>
          <w:szCs w:val="22"/>
        </w:rPr>
        <w:t>.  T</w:t>
      </w:r>
      <w:r w:rsidR="00FC0F17">
        <w:rPr>
          <w:rFonts w:asciiTheme="minorHAnsi" w:hAnsiTheme="minorHAnsi"/>
          <w:sz w:val="22"/>
          <w:szCs w:val="22"/>
        </w:rPr>
        <w:t>he</w:t>
      </w:r>
      <w:r>
        <w:rPr>
          <w:rFonts w:asciiTheme="minorHAnsi" w:hAnsiTheme="minorHAnsi"/>
          <w:sz w:val="22"/>
          <w:szCs w:val="22"/>
        </w:rPr>
        <w:t xml:space="preserve"> tools were adapted </w:t>
      </w:r>
      <w:r w:rsidR="001019E0">
        <w:rPr>
          <w:rFonts w:asciiTheme="minorHAnsi" w:hAnsiTheme="minorHAnsi"/>
          <w:sz w:val="22"/>
          <w:szCs w:val="22"/>
        </w:rPr>
        <w:t xml:space="preserve">to try to </w:t>
      </w:r>
      <w:r>
        <w:rPr>
          <w:rFonts w:asciiTheme="minorHAnsi" w:hAnsiTheme="minorHAnsi"/>
          <w:sz w:val="22"/>
          <w:szCs w:val="22"/>
        </w:rPr>
        <w:t xml:space="preserve">match the policy that has been set.  </w:t>
      </w:r>
      <w:r w:rsidR="00FC0F17">
        <w:rPr>
          <w:rFonts w:asciiTheme="minorHAnsi" w:hAnsiTheme="minorHAnsi"/>
          <w:sz w:val="22"/>
          <w:szCs w:val="22"/>
        </w:rPr>
        <w:t>This create</w:t>
      </w:r>
      <w:r w:rsidR="001019E0">
        <w:rPr>
          <w:rFonts w:asciiTheme="minorHAnsi" w:hAnsiTheme="minorHAnsi"/>
          <w:sz w:val="22"/>
          <w:szCs w:val="22"/>
        </w:rPr>
        <w:t>d</w:t>
      </w:r>
      <w:r w:rsidR="00FC0F17">
        <w:rPr>
          <w:rFonts w:asciiTheme="minorHAnsi" w:hAnsiTheme="minorHAnsi"/>
          <w:sz w:val="22"/>
          <w:szCs w:val="22"/>
        </w:rPr>
        <w:t xml:space="preserve"> an impossible implementation</w:t>
      </w:r>
      <w:r w:rsidR="001019E0">
        <w:rPr>
          <w:rFonts w:asciiTheme="minorHAnsi" w:hAnsiTheme="minorHAnsi"/>
          <w:sz w:val="22"/>
          <w:szCs w:val="22"/>
        </w:rPr>
        <w:t xml:space="preserve"> challenge</w:t>
      </w:r>
      <w:r w:rsidR="00FC0F17">
        <w:rPr>
          <w:rFonts w:asciiTheme="minorHAnsi" w:hAnsiTheme="minorHAnsi"/>
          <w:sz w:val="22"/>
          <w:szCs w:val="22"/>
        </w:rPr>
        <w:t>.</w:t>
      </w:r>
    </w:p>
    <w:p w:rsidR="006B3B2F" w:rsidRDefault="006B3B2F" w:rsidP="00C15ABB">
      <w:pPr>
        <w:pStyle w:val="Default"/>
        <w:ind w:left="142"/>
        <w:rPr>
          <w:rFonts w:asciiTheme="minorHAnsi" w:hAnsiTheme="minorHAnsi"/>
          <w:sz w:val="22"/>
          <w:szCs w:val="22"/>
        </w:rPr>
      </w:pPr>
    </w:p>
    <w:p w:rsidR="00094B5D" w:rsidRDefault="00FC0F17" w:rsidP="00F8173A">
      <w:pPr>
        <w:pStyle w:val="Default"/>
        <w:numPr>
          <w:ilvl w:val="0"/>
          <w:numId w:val="28"/>
        </w:numPr>
        <w:rPr>
          <w:rFonts w:asciiTheme="minorHAnsi" w:hAnsiTheme="minorHAnsi"/>
          <w:sz w:val="22"/>
          <w:szCs w:val="22"/>
        </w:rPr>
      </w:pPr>
      <w:r>
        <w:rPr>
          <w:rFonts w:asciiTheme="minorHAnsi" w:hAnsiTheme="minorHAnsi"/>
          <w:sz w:val="22"/>
          <w:szCs w:val="22"/>
        </w:rPr>
        <w:t>M</w:t>
      </w:r>
      <w:r w:rsidR="006B3B2F">
        <w:rPr>
          <w:rFonts w:asciiTheme="minorHAnsi" w:hAnsiTheme="minorHAnsi"/>
          <w:sz w:val="22"/>
          <w:szCs w:val="22"/>
        </w:rPr>
        <w:t xml:space="preserve">uch more consideration should have gone into whether the policy </w:t>
      </w:r>
      <w:r w:rsidR="00A37257">
        <w:rPr>
          <w:rFonts w:asciiTheme="minorHAnsi" w:hAnsiTheme="minorHAnsi"/>
          <w:sz w:val="22"/>
          <w:szCs w:val="22"/>
        </w:rPr>
        <w:t>could</w:t>
      </w:r>
      <w:r w:rsidR="006B3B2F">
        <w:rPr>
          <w:rFonts w:asciiTheme="minorHAnsi" w:hAnsiTheme="minorHAnsi"/>
          <w:sz w:val="22"/>
          <w:szCs w:val="22"/>
        </w:rPr>
        <w:t xml:space="preserve"> be </w:t>
      </w:r>
      <w:r w:rsidR="00BC0F9E">
        <w:rPr>
          <w:rFonts w:asciiTheme="minorHAnsi" w:hAnsiTheme="minorHAnsi"/>
          <w:sz w:val="22"/>
          <w:szCs w:val="22"/>
        </w:rPr>
        <w:t xml:space="preserve">framed around </w:t>
      </w:r>
      <w:r w:rsidR="006B3B2F">
        <w:rPr>
          <w:rFonts w:asciiTheme="minorHAnsi" w:hAnsiTheme="minorHAnsi"/>
          <w:sz w:val="22"/>
          <w:szCs w:val="22"/>
        </w:rPr>
        <w:t>an allocation regime.  The other two main policy options, regulation and polluter pays</w:t>
      </w:r>
      <w:r w:rsidR="006B3B2F">
        <w:rPr>
          <w:rStyle w:val="FootnoteReference"/>
          <w:rFonts w:asciiTheme="minorHAnsi" w:hAnsiTheme="minorHAnsi"/>
          <w:sz w:val="22"/>
          <w:szCs w:val="22"/>
        </w:rPr>
        <w:footnoteReference w:id="11"/>
      </w:r>
      <w:r w:rsidR="006B3B2F">
        <w:rPr>
          <w:rFonts w:asciiTheme="minorHAnsi" w:hAnsiTheme="minorHAnsi"/>
          <w:sz w:val="22"/>
          <w:szCs w:val="22"/>
        </w:rPr>
        <w:t xml:space="preserve">, were discarded with no proper analysis [sec 32 </w:t>
      </w:r>
      <w:proofErr w:type="spellStart"/>
      <w:r w:rsidR="006B3B2F">
        <w:rPr>
          <w:rFonts w:asciiTheme="minorHAnsi" w:hAnsiTheme="minorHAnsi"/>
          <w:sz w:val="22"/>
          <w:szCs w:val="22"/>
        </w:rPr>
        <w:t>pg</w:t>
      </w:r>
      <w:proofErr w:type="spellEnd"/>
      <w:r w:rsidR="006B3B2F">
        <w:rPr>
          <w:rFonts w:asciiTheme="minorHAnsi" w:hAnsiTheme="minorHAnsi"/>
          <w:sz w:val="22"/>
          <w:szCs w:val="22"/>
        </w:rPr>
        <w:t xml:space="preserve"> </w:t>
      </w:r>
      <w:r w:rsidR="00B434F8">
        <w:rPr>
          <w:rFonts w:asciiTheme="minorHAnsi" w:hAnsiTheme="minorHAnsi"/>
          <w:sz w:val="22"/>
          <w:szCs w:val="22"/>
        </w:rPr>
        <w:t>125-126</w:t>
      </w:r>
      <w:r w:rsidR="006B3B2F">
        <w:rPr>
          <w:rFonts w:asciiTheme="minorHAnsi" w:hAnsiTheme="minorHAnsi"/>
          <w:sz w:val="22"/>
          <w:szCs w:val="22"/>
        </w:rPr>
        <w:t xml:space="preserve">].   </w:t>
      </w:r>
      <w:r>
        <w:rPr>
          <w:rFonts w:asciiTheme="minorHAnsi" w:hAnsiTheme="minorHAnsi"/>
          <w:sz w:val="22"/>
          <w:szCs w:val="22"/>
        </w:rPr>
        <w:t xml:space="preserve">The decision at a </w:t>
      </w:r>
      <w:r w:rsidR="00094B5D">
        <w:rPr>
          <w:rFonts w:asciiTheme="minorHAnsi" w:hAnsiTheme="minorHAnsi"/>
          <w:sz w:val="22"/>
          <w:szCs w:val="22"/>
        </w:rPr>
        <w:t>macro level to use allocation</w:t>
      </w:r>
      <w:r>
        <w:rPr>
          <w:rFonts w:asciiTheme="minorHAnsi" w:hAnsiTheme="minorHAnsi"/>
          <w:sz w:val="22"/>
          <w:szCs w:val="22"/>
        </w:rPr>
        <w:t xml:space="preserve"> without ensuring the tools to implement it were available, was thus not credible or reasonable</w:t>
      </w:r>
      <w:r w:rsidR="00094B5D">
        <w:rPr>
          <w:rFonts w:asciiTheme="minorHAnsi" w:hAnsiTheme="minorHAnsi"/>
          <w:sz w:val="22"/>
          <w:szCs w:val="22"/>
        </w:rPr>
        <w:t>.</w:t>
      </w:r>
    </w:p>
    <w:p w:rsidR="006B3B2F" w:rsidRDefault="006B3B2F" w:rsidP="00C15ABB">
      <w:pPr>
        <w:pStyle w:val="Default"/>
        <w:ind w:left="142"/>
        <w:rPr>
          <w:rFonts w:asciiTheme="minorHAnsi" w:hAnsiTheme="minorHAnsi"/>
          <w:sz w:val="22"/>
          <w:szCs w:val="22"/>
        </w:rPr>
      </w:pPr>
    </w:p>
    <w:p w:rsidR="006B3B2F" w:rsidRPr="00252C2A" w:rsidRDefault="006B3B2F" w:rsidP="00F8173A">
      <w:pPr>
        <w:pStyle w:val="Default"/>
        <w:numPr>
          <w:ilvl w:val="0"/>
          <w:numId w:val="28"/>
        </w:numPr>
        <w:rPr>
          <w:rFonts w:asciiTheme="minorHAnsi" w:hAnsiTheme="minorHAnsi"/>
          <w:sz w:val="22"/>
          <w:szCs w:val="22"/>
        </w:rPr>
      </w:pPr>
      <w:r w:rsidRPr="00252C2A">
        <w:rPr>
          <w:rFonts w:asciiTheme="minorHAnsi" w:hAnsiTheme="minorHAnsi"/>
          <w:sz w:val="22"/>
          <w:szCs w:val="22"/>
        </w:rPr>
        <w:t>Council compound</w:t>
      </w:r>
      <w:r w:rsidR="00252C2A">
        <w:rPr>
          <w:rFonts w:asciiTheme="minorHAnsi" w:hAnsiTheme="minorHAnsi"/>
          <w:sz w:val="22"/>
          <w:szCs w:val="22"/>
        </w:rPr>
        <w:t>ed</w:t>
      </w:r>
      <w:r w:rsidRPr="00252C2A">
        <w:rPr>
          <w:rFonts w:asciiTheme="minorHAnsi" w:hAnsiTheme="minorHAnsi"/>
          <w:sz w:val="22"/>
          <w:szCs w:val="22"/>
        </w:rPr>
        <w:t xml:space="preserve"> its poor macro policy choice with a process choice</w:t>
      </w:r>
      <w:r w:rsidR="00252C2A">
        <w:rPr>
          <w:rFonts w:asciiTheme="minorHAnsi" w:hAnsiTheme="minorHAnsi"/>
          <w:sz w:val="22"/>
          <w:szCs w:val="22"/>
        </w:rPr>
        <w:t xml:space="preserve"> that had a poor match to the policy</w:t>
      </w:r>
      <w:r w:rsidR="00252C2A" w:rsidRPr="00252C2A">
        <w:rPr>
          <w:rFonts w:asciiTheme="minorHAnsi" w:hAnsiTheme="minorHAnsi"/>
          <w:sz w:val="22"/>
          <w:szCs w:val="22"/>
        </w:rPr>
        <w:t xml:space="preserve">.  Allocation drives rivalry for resource.  </w:t>
      </w:r>
      <w:r w:rsidRPr="00252C2A">
        <w:rPr>
          <w:rFonts w:asciiTheme="minorHAnsi" w:hAnsiTheme="minorHAnsi"/>
          <w:sz w:val="22"/>
          <w:szCs w:val="22"/>
        </w:rPr>
        <w:t xml:space="preserve">Council decided to use a collaborative stakeholder process for a resource </w:t>
      </w:r>
      <w:r w:rsidR="00D509C5">
        <w:rPr>
          <w:rFonts w:asciiTheme="minorHAnsi" w:hAnsiTheme="minorHAnsi"/>
          <w:sz w:val="22"/>
          <w:szCs w:val="22"/>
        </w:rPr>
        <w:t xml:space="preserve">(N allocation) </w:t>
      </w:r>
      <w:r w:rsidRPr="00252C2A">
        <w:rPr>
          <w:rFonts w:asciiTheme="minorHAnsi" w:hAnsiTheme="minorHAnsi"/>
          <w:sz w:val="22"/>
          <w:szCs w:val="22"/>
        </w:rPr>
        <w:t>worth millions of do</w:t>
      </w:r>
      <w:r w:rsidR="00BC0F9E" w:rsidRPr="00252C2A">
        <w:rPr>
          <w:rFonts w:asciiTheme="minorHAnsi" w:hAnsiTheme="minorHAnsi"/>
          <w:sz w:val="22"/>
          <w:szCs w:val="22"/>
        </w:rPr>
        <w:t>llars</w:t>
      </w:r>
      <w:r w:rsidR="00D509C5">
        <w:rPr>
          <w:rFonts w:asciiTheme="minorHAnsi" w:hAnsiTheme="minorHAnsi"/>
          <w:sz w:val="22"/>
          <w:szCs w:val="22"/>
        </w:rPr>
        <w:t xml:space="preserve">.  Council selected the </w:t>
      </w:r>
      <w:r w:rsidR="00252C2A">
        <w:rPr>
          <w:rFonts w:asciiTheme="minorHAnsi" w:hAnsiTheme="minorHAnsi"/>
          <w:sz w:val="22"/>
          <w:szCs w:val="22"/>
        </w:rPr>
        <w:t xml:space="preserve">small </w:t>
      </w:r>
      <w:r w:rsidRPr="00252C2A">
        <w:rPr>
          <w:rFonts w:asciiTheme="minorHAnsi" w:hAnsiTheme="minorHAnsi"/>
          <w:sz w:val="22"/>
          <w:szCs w:val="22"/>
        </w:rPr>
        <w:t xml:space="preserve">group of people </w:t>
      </w:r>
      <w:r w:rsidR="00D509C5">
        <w:rPr>
          <w:rFonts w:asciiTheme="minorHAnsi" w:hAnsiTheme="minorHAnsi"/>
          <w:sz w:val="22"/>
          <w:szCs w:val="22"/>
        </w:rPr>
        <w:t>who would drive this collaborative effort</w:t>
      </w:r>
      <w:r w:rsidRPr="00252C2A">
        <w:rPr>
          <w:rFonts w:asciiTheme="minorHAnsi" w:hAnsiTheme="minorHAnsi"/>
          <w:sz w:val="22"/>
          <w:szCs w:val="22"/>
        </w:rPr>
        <w:t xml:space="preserve">.  </w:t>
      </w:r>
      <w:r w:rsidR="00252C2A">
        <w:rPr>
          <w:rFonts w:asciiTheme="minorHAnsi" w:hAnsiTheme="minorHAnsi"/>
          <w:sz w:val="22"/>
          <w:szCs w:val="22"/>
        </w:rPr>
        <w:t xml:space="preserve">These people had varying levels of interest in the </w:t>
      </w:r>
      <w:r w:rsidR="00C41C2B">
        <w:rPr>
          <w:rFonts w:asciiTheme="minorHAnsi" w:hAnsiTheme="minorHAnsi"/>
          <w:sz w:val="22"/>
          <w:szCs w:val="22"/>
        </w:rPr>
        <w:t xml:space="preserve">allocation distribution.  </w:t>
      </w:r>
      <w:r w:rsidRPr="00252C2A">
        <w:rPr>
          <w:rFonts w:asciiTheme="minorHAnsi" w:hAnsiTheme="minorHAnsi"/>
          <w:sz w:val="22"/>
          <w:szCs w:val="22"/>
        </w:rPr>
        <w:t xml:space="preserve">Some </w:t>
      </w:r>
      <w:r w:rsidR="00C41C2B">
        <w:rPr>
          <w:rFonts w:asciiTheme="minorHAnsi" w:hAnsiTheme="minorHAnsi"/>
          <w:sz w:val="22"/>
          <w:szCs w:val="22"/>
        </w:rPr>
        <w:t xml:space="preserve">only cared about the ends, not the means.  Some </w:t>
      </w:r>
      <w:r w:rsidRPr="00252C2A">
        <w:rPr>
          <w:rFonts w:asciiTheme="minorHAnsi" w:hAnsiTheme="minorHAnsi"/>
          <w:sz w:val="22"/>
          <w:szCs w:val="22"/>
        </w:rPr>
        <w:t>ha</w:t>
      </w:r>
      <w:r w:rsidR="00C41C2B">
        <w:rPr>
          <w:rFonts w:asciiTheme="minorHAnsi" w:hAnsiTheme="minorHAnsi"/>
          <w:sz w:val="22"/>
          <w:szCs w:val="22"/>
        </w:rPr>
        <w:t>d</w:t>
      </w:r>
      <w:r w:rsidRPr="00252C2A">
        <w:rPr>
          <w:rFonts w:asciiTheme="minorHAnsi" w:hAnsiTheme="minorHAnsi"/>
          <w:sz w:val="22"/>
          <w:szCs w:val="22"/>
        </w:rPr>
        <w:t xml:space="preserve"> significant experience in similar processes in other parts of the country</w:t>
      </w:r>
      <w:r w:rsidR="00C41C2B">
        <w:rPr>
          <w:rFonts w:asciiTheme="minorHAnsi" w:hAnsiTheme="minorHAnsi"/>
          <w:sz w:val="22"/>
          <w:szCs w:val="22"/>
        </w:rPr>
        <w:t xml:space="preserve"> and </w:t>
      </w:r>
      <w:r w:rsidR="00C41C2B" w:rsidRPr="00252C2A">
        <w:rPr>
          <w:rFonts w:asciiTheme="minorHAnsi" w:hAnsiTheme="minorHAnsi"/>
          <w:sz w:val="22"/>
          <w:szCs w:val="22"/>
        </w:rPr>
        <w:t>national-level resources available to them</w:t>
      </w:r>
      <w:r w:rsidR="00C41C2B">
        <w:rPr>
          <w:rFonts w:asciiTheme="minorHAnsi" w:hAnsiTheme="minorHAnsi"/>
          <w:sz w:val="22"/>
          <w:szCs w:val="22"/>
        </w:rPr>
        <w:t>.  They knew the rules of the game.  Others were coming in cold, with poor levels of resourcing.</w:t>
      </w:r>
      <w:r w:rsidR="007F51C3" w:rsidRPr="00252C2A">
        <w:rPr>
          <w:rFonts w:asciiTheme="minorHAnsi" w:hAnsiTheme="minorHAnsi"/>
          <w:sz w:val="22"/>
          <w:szCs w:val="22"/>
        </w:rPr>
        <w:t xml:space="preserve">   </w:t>
      </w:r>
      <w:r w:rsidR="00C41C2B">
        <w:rPr>
          <w:rFonts w:asciiTheme="minorHAnsi" w:hAnsiTheme="minorHAnsi"/>
          <w:sz w:val="22"/>
          <w:szCs w:val="22"/>
        </w:rPr>
        <w:t xml:space="preserve">The steps </w:t>
      </w:r>
      <w:r w:rsidR="007F51C3" w:rsidRPr="00252C2A">
        <w:rPr>
          <w:rFonts w:asciiTheme="minorHAnsi" w:hAnsiTheme="minorHAnsi"/>
          <w:sz w:val="22"/>
          <w:szCs w:val="22"/>
        </w:rPr>
        <w:t>C</w:t>
      </w:r>
      <w:r w:rsidRPr="00252C2A">
        <w:rPr>
          <w:rFonts w:asciiTheme="minorHAnsi" w:hAnsiTheme="minorHAnsi"/>
          <w:sz w:val="22"/>
          <w:szCs w:val="22"/>
        </w:rPr>
        <w:t>ouncil took to manage th</w:t>
      </w:r>
      <w:r w:rsidR="00C41C2B">
        <w:rPr>
          <w:rFonts w:asciiTheme="minorHAnsi" w:hAnsiTheme="minorHAnsi"/>
          <w:sz w:val="22"/>
          <w:szCs w:val="22"/>
        </w:rPr>
        <w:t>e r</w:t>
      </w:r>
      <w:r w:rsidRPr="00252C2A">
        <w:rPr>
          <w:rFonts w:asciiTheme="minorHAnsi" w:hAnsiTheme="minorHAnsi"/>
          <w:sz w:val="22"/>
          <w:szCs w:val="22"/>
        </w:rPr>
        <w:t>isk</w:t>
      </w:r>
      <w:r w:rsidR="00C41C2B">
        <w:rPr>
          <w:rFonts w:asciiTheme="minorHAnsi" w:hAnsiTheme="minorHAnsi"/>
          <w:sz w:val="22"/>
          <w:szCs w:val="22"/>
        </w:rPr>
        <w:t xml:space="preserve">s inherent in this uneven capacity </w:t>
      </w:r>
      <w:r w:rsidR="00D509C5">
        <w:rPr>
          <w:rFonts w:asciiTheme="minorHAnsi" w:hAnsiTheme="minorHAnsi"/>
          <w:sz w:val="22"/>
          <w:szCs w:val="22"/>
        </w:rPr>
        <w:t xml:space="preserve">to represent various sectors </w:t>
      </w:r>
      <w:r w:rsidR="00C41C2B">
        <w:rPr>
          <w:rFonts w:asciiTheme="minorHAnsi" w:hAnsiTheme="minorHAnsi"/>
          <w:sz w:val="22"/>
          <w:szCs w:val="22"/>
        </w:rPr>
        <w:t>are not clear</w:t>
      </w:r>
      <w:r w:rsidRPr="00252C2A">
        <w:rPr>
          <w:rFonts w:asciiTheme="minorHAnsi" w:hAnsiTheme="minorHAnsi"/>
          <w:sz w:val="22"/>
          <w:szCs w:val="22"/>
        </w:rPr>
        <w:t xml:space="preserve">.     </w:t>
      </w:r>
    </w:p>
    <w:p w:rsidR="006B3B2F" w:rsidRDefault="006B3B2F" w:rsidP="00C15ABB">
      <w:pPr>
        <w:pStyle w:val="Default"/>
        <w:ind w:left="142"/>
        <w:rPr>
          <w:rFonts w:asciiTheme="minorHAnsi" w:hAnsiTheme="minorHAnsi"/>
          <w:sz w:val="22"/>
          <w:szCs w:val="22"/>
        </w:rPr>
      </w:pPr>
    </w:p>
    <w:p w:rsidR="006B3B2F" w:rsidRDefault="001019E0" w:rsidP="00F8173A">
      <w:pPr>
        <w:pStyle w:val="Default"/>
        <w:numPr>
          <w:ilvl w:val="0"/>
          <w:numId w:val="28"/>
        </w:numPr>
        <w:rPr>
          <w:rFonts w:asciiTheme="minorHAnsi" w:hAnsiTheme="minorHAnsi"/>
          <w:sz w:val="22"/>
          <w:szCs w:val="22"/>
        </w:rPr>
      </w:pPr>
      <w:r>
        <w:rPr>
          <w:rFonts w:asciiTheme="minorHAnsi" w:hAnsiTheme="minorHAnsi"/>
          <w:sz w:val="22"/>
          <w:szCs w:val="22"/>
        </w:rPr>
        <w:t xml:space="preserve">Developing the Lake Rotorua allocation regime was thus subject to a </w:t>
      </w:r>
      <w:r w:rsidR="006B3B2F">
        <w:rPr>
          <w:rFonts w:asciiTheme="minorHAnsi" w:hAnsiTheme="minorHAnsi"/>
          <w:sz w:val="22"/>
          <w:szCs w:val="22"/>
        </w:rPr>
        <w:t>rivalrous collaborative process</w:t>
      </w:r>
      <w:r>
        <w:rPr>
          <w:rFonts w:asciiTheme="minorHAnsi" w:hAnsiTheme="minorHAnsi"/>
          <w:sz w:val="22"/>
          <w:szCs w:val="22"/>
        </w:rPr>
        <w:t>.</w:t>
      </w:r>
      <w:r w:rsidR="006B3B2F">
        <w:rPr>
          <w:rFonts w:asciiTheme="minorHAnsi" w:hAnsiTheme="minorHAnsi"/>
          <w:sz w:val="22"/>
          <w:szCs w:val="22"/>
        </w:rPr>
        <w:t xml:space="preserve">  This first discard</w:t>
      </w:r>
      <w:r>
        <w:rPr>
          <w:rFonts w:asciiTheme="minorHAnsi" w:hAnsiTheme="minorHAnsi"/>
          <w:sz w:val="22"/>
          <w:szCs w:val="22"/>
        </w:rPr>
        <w:t xml:space="preserve">ed </w:t>
      </w:r>
      <w:r w:rsidR="006B3B2F">
        <w:rPr>
          <w:rFonts w:asciiTheme="minorHAnsi" w:hAnsiTheme="minorHAnsi"/>
          <w:sz w:val="22"/>
          <w:szCs w:val="22"/>
        </w:rPr>
        <w:t xml:space="preserve">a number of land owners, due to the current land use on their land.  It then </w:t>
      </w:r>
      <w:r w:rsidR="00FD4F5E">
        <w:rPr>
          <w:rFonts w:asciiTheme="minorHAnsi" w:hAnsiTheme="minorHAnsi"/>
          <w:sz w:val="22"/>
          <w:szCs w:val="22"/>
        </w:rPr>
        <w:t>allow</w:t>
      </w:r>
      <w:r w:rsidR="00D509C5">
        <w:rPr>
          <w:rFonts w:asciiTheme="minorHAnsi" w:hAnsiTheme="minorHAnsi"/>
          <w:sz w:val="22"/>
          <w:szCs w:val="22"/>
        </w:rPr>
        <w:t>ed</w:t>
      </w:r>
      <w:r w:rsidR="00FD4F5E">
        <w:rPr>
          <w:rFonts w:asciiTheme="minorHAnsi" w:hAnsiTheme="minorHAnsi"/>
          <w:sz w:val="22"/>
          <w:szCs w:val="22"/>
        </w:rPr>
        <w:t xml:space="preserve"> the </w:t>
      </w:r>
      <w:r w:rsidR="006B3B2F">
        <w:rPr>
          <w:rFonts w:asciiTheme="minorHAnsi" w:hAnsiTheme="minorHAnsi"/>
          <w:sz w:val="22"/>
          <w:szCs w:val="22"/>
        </w:rPr>
        <w:t>devol</w:t>
      </w:r>
      <w:r w:rsidR="00FD4F5E">
        <w:rPr>
          <w:rFonts w:asciiTheme="minorHAnsi" w:hAnsiTheme="minorHAnsi"/>
          <w:sz w:val="22"/>
          <w:szCs w:val="22"/>
        </w:rPr>
        <w:t xml:space="preserve">ution of </w:t>
      </w:r>
      <w:r w:rsidR="006B3B2F">
        <w:rPr>
          <w:rFonts w:asciiTheme="minorHAnsi" w:hAnsiTheme="minorHAnsi"/>
          <w:sz w:val="22"/>
          <w:szCs w:val="22"/>
        </w:rPr>
        <w:t>the micro aspects of the allocation regime to the group creating the most pollution</w:t>
      </w:r>
      <w:r w:rsidR="00D509C5">
        <w:rPr>
          <w:rFonts w:asciiTheme="minorHAnsi" w:hAnsiTheme="minorHAnsi"/>
          <w:sz w:val="22"/>
          <w:szCs w:val="22"/>
        </w:rPr>
        <w:t>, which</w:t>
      </w:r>
      <w:r w:rsidR="006B3B2F">
        <w:rPr>
          <w:rFonts w:asciiTheme="minorHAnsi" w:hAnsiTheme="minorHAnsi"/>
          <w:sz w:val="22"/>
          <w:szCs w:val="22"/>
        </w:rPr>
        <w:t xml:space="preserve"> appears to have been further devolved </w:t>
      </w:r>
      <w:r w:rsidR="00D509C5">
        <w:rPr>
          <w:rFonts w:asciiTheme="minorHAnsi" w:hAnsiTheme="minorHAnsi"/>
          <w:sz w:val="22"/>
          <w:szCs w:val="22"/>
        </w:rPr>
        <w:t xml:space="preserve">to </w:t>
      </w:r>
      <w:r w:rsidR="006B3B2F">
        <w:rPr>
          <w:rFonts w:asciiTheme="minorHAnsi" w:hAnsiTheme="minorHAnsi"/>
          <w:sz w:val="22"/>
          <w:szCs w:val="22"/>
        </w:rPr>
        <w:t>industry representative</w:t>
      </w:r>
      <w:r w:rsidR="00D509C5">
        <w:rPr>
          <w:rFonts w:asciiTheme="minorHAnsi" w:hAnsiTheme="minorHAnsi"/>
          <w:sz w:val="22"/>
          <w:szCs w:val="22"/>
        </w:rPr>
        <w:t>s</w:t>
      </w:r>
      <w:r w:rsidR="006B3B2F" w:rsidRPr="00921108">
        <w:rPr>
          <w:rFonts w:asciiTheme="minorHAnsi" w:hAnsiTheme="minorHAnsi"/>
          <w:sz w:val="22"/>
          <w:szCs w:val="22"/>
        </w:rPr>
        <w:t>.</w:t>
      </w:r>
      <w:r w:rsidR="006B3B2F">
        <w:rPr>
          <w:rFonts w:asciiTheme="minorHAnsi" w:hAnsiTheme="minorHAnsi"/>
          <w:sz w:val="22"/>
          <w:szCs w:val="22"/>
        </w:rPr>
        <w:t xml:space="preserve">  </w:t>
      </w:r>
      <w:r w:rsidR="00D509C5">
        <w:rPr>
          <w:rFonts w:asciiTheme="minorHAnsi" w:hAnsiTheme="minorHAnsi"/>
          <w:sz w:val="22"/>
          <w:szCs w:val="22"/>
        </w:rPr>
        <w:t xml:space="preserve">The potential for or management of </w:t>
      </w:r>
      <w:r w:rsidR="006B3B2F">
        <w:rPr>
          <w:rFonts w:asciiTheme="minorHAnsi" w:hAnsiTheme="minorHAnsi"/>
          <w:sz w:val="22"/>
          <w:szCs w:val="22"/>
        </w:rPr>
        <w:t>regulatory capture</w:t>
      </w:r>
      <w:r w:rsidR="00D509C5">
        <w:rPr>
          <w:rFonts w:asciiTheme="minorHAnsi" w:hAnsiTheme="minorHAnsi"/>
          <w:sz w:val="22"/>
          <w:szCs w:val="22"/>
        </w:rPr>
        <w:t xml:space="preserve"> was not evident in Council’s process</w:t>
      </w:r>
      <w:r w:rsidR="006B3B2F">
        <w:rPr>
          <w:rFonts w:asciiTheme="minorHAnsi" w:hAnsiTheme="minorHAnsi"/>
          <w:sz w:val="22"/>
          <w:szCs w:val="22"/>
        </w:rPr>
        <w:t xml:space="preserve">.  </w:t>
      </w:r>
    </w:p>
    <w:p w:rsidR="006B3B2F" w:rsidRDefault="006B3B2F" w:rsidP="00C15ABB">
      <w:pPr>
        <w:pStyle w:val="Default"/>
        <w:ind w:left="142"/>
        <w:rPr>
          <w:rFonts w:asciiTheme="minorHAnsi" w:hAnsiTheme="minorHAnsi"/>
          <w:sz w:val="22"/>
          <w:szCs w:val="22"/>
        </w:rPr>
      </w:pPr>
    </w:p>
    <w:p w:rsidR="00A04231" w:rsidRPr="00A04231" w:rsidRDefault="006B3B2F" w:rsidP="00F8173A">
      <w:pPr>
        <w:pStyle w:val="Default"/>
        <w:numPr>
          <w:ilvl w:val="0"/>
          <w:numId w:val="28"/>
        </w:numPr>
        <w:rPr>
          <w:rFonts w:asciiTheme="minorHAnsi" w:hAnsiTheme="minorHAnsi"/>
          <w:color w:val="000000" w:themeColor="text1"/>
          <w:sz w:val="22"/>
          <w:szCs w:val="22"/>
        </w:rPr>
      </w:pPr>
      <w:r w:rsidRPr="00FC6E42">
        <w:rPr>
          <w:rFonts w:asciiTheme="minorHAnsi" w:hAnsiTheme="minorHAnsi"/>
          <w:sz w:val="22"/>
          <w:szCs w:val="22"/>
        </w:rPr>
        <w:t xml:space="preserve">Council did </w:t>
      </w:r>
      <w:r w:rsidR="00CB5C71" w:rsidRPr="00FC6E42">
        <w:rPr>
          <w:rFonts w:asciiTheme="minorHAnsi" w:hAnsiTheme="minorHAnsi"/>
          <w:sz w:val="22"/>
          <w:szCs w:val="22"/>
        </w:rPr>
        <w:t xml:space="preserve">not seriously </w:t>
      </w:r>
      <w:r w:rsidR="00A04231">
        <w:rPr>
          <w:rFonts w:asciiTheme="minorHAnsi" w:hAnsiTheme="minorHAnsi"/>
          <w:sz w:val="22"/>
          <w:szCs w:val="22"/>
        </w:rPr>
        <w:t xml:space="preserve">assess the merits of </w:t>
      </w:r>
      <w:r w:rsidR="004000F9" w:rsidRPr="00FC6E42">
        <w:rPr>
          <w:rFonts w:asciiTheme="minorHAnsi" w:hAnsiTheme="minorHAnsi"/>
          <w:sz w:val="22"/>
          <w:szCs w:val="22"/>
        </w:rPr>
        <w:t xml:space="preserve">a </w:t>
      </w:r>
      <w:r w:rsidR="00CB5C71" w:rsidRPr="00FC6E42">
        <w:rPr>
          <w:rFonts w:asciiTheme="minorHAnsi" w:hAnsiTheme="minorHAnsi"/>
          <w:sz w:val="22"/>
          <w:szCs w:val="22"/>
        </w:rPr>
        <w:t>Polluter P</w:t>
      </w:r>
      <w:r w:rsidRPr="00FC6E42">
        <w:rPr>
          <w:rFonts w:asciiTheme="minorHAnsi" w:hAnsiTheme="minorHAnsi"/>
          <w:sz w:val="22"/>
          <w:szCs w:val="22"/>
        </w:rPr>
        <w:t>ays</w:t>
      </w:r>
      <w:r w:rsidR="004000F9" w:rsidRPr="00FC6E42">
        <w:rPr>
          <w:rFonts w:asciiTheme="minorHAnsi" w:hAnsiTheme="minorHAnsi"/>
          <w:sz w:val="22"/>
          <w:szCs w:val="22"/>
        </w:rPr>
        <w:t xml:space="preserve"> regime</w:t>
      </w:r>
      <w:r w:rsidR="007F51C3" w:rsidRPr="00FC6E42">
        <w:rPr>
          <w:rFonts w:asciiTheme="minorHAnsi" w:hAnsiTheme="minorHAnsi"/>
          <w:sz w:val="22"/>
          <w:szCs w:val="22"/>
        </w:rPr>
        <w:t xml:space="preserve">. </w:t>
      </w:r>
      <w:r w:rsidR="00A04231">
        <w:rPr>
          <w:rFonts w:asciiTheme="minorHAnsi" w:hAnsiTheme="minorHAnsi"/>
          <w:sz w:val="22"/>
          <w:szCs w:val="22"/>
        </w:rPr>
        <w:t>I</w:t>
      </w:r>
      <w:r w:rsidR="004D0DC9" w:rsidRPr="00FC6E42">
        <w:rPr>
          <w:rFonts w:asciiTheme="minorHAnsi" w:hAnsiTheme="minorHAnsi"/>
          <w:sz w:val="22"/>
          <w:szCs w:val="22"/>
        </w:rPr>
        <w:t xml:space="preserve">t fixed on allocation and then tried to fit tools to that policy regime.  </w:t>
      </w:r>
      <w:r w:rsidR="004000F9" w:rsidRPr="00FC6E42">
        <w:rPr>
          <w:rFonts w:asciiTheme="minorHAnsi" w:hAnsiTheme="minorHAnsi"/>
          <w:sz w:val="22"/>
          <w:szCs w:val="22"/>
        </w:rPr>
        <w:t>In d</w:t>
      </w:r>
      <w:r w:rsidR="00CB5C71" w:rsidRPr="00FC6E42">
        <w:rPr>
          <w:rFonts w:asciiTheme="minorHAnsi" w:hAnsiTheme="minorHAnsi"/>
          <w:sz w:val="22"/>
          <w:szCs w:val="22"/>
        </w:rPr>
        <w:t>iscarding th</w:t>
      </w:r>
      <w:r w:rsidR="00A04231">
        <w:rPr>
          <w:rFonts w:asciiTheme="minorHAnsi" w:hAnsiTheme="minorHAnsi"/>
          <w:sz w:val="22"/>
          <w:szCs w:val="22"/>
        </w:rPr>
        <w:t xml:space="preserve">e polluter pays </w:t>
      </w:r>
      <w:r w:rsidR="00CB5C71" w:rsidRPr="00FC6E42">
        <w:rPr>
          <w:rFonts w:asciiTheme="minorHAnsi" w:hAnsiTheme="minorHAnsi"/>
          <w:sz w:val="22"/>
          <w:szCs w:val="22"/>
        </w:rPr>
        <w:t xml:space="preserve">approach Council </w:t>
      </w:r>
      <w:r w:rsidR="004D0DC9" w:rsidRPr="00FC6E42">
        <w:rPr>
          <w:rFonts w:asciiTheme="minorHAnsi" w:hAnsiTheme="minorHAnsi"/>
          <w:sz w:val="22"/>
          <w:szCs w:val="22"/>
        </w:rPr>
        <w:t xml:space="preserve">missed the opportunity </w:t>
      </w:r>
      <w:r w:rsidR="00CB5C71" w:rsidRPr="00FC6E42">
        <w:rPr>
          <w:rFonts w:asciiTheme="minorHAnsi" w:hAnsiTheme="minorHAnsi"/>
          <w:sz w:val="22"/>
          <w:szCs w:val="22"/>
        </w:rPr>
        <w:t xml:space="preserve">to consider </w:t>
      </w:r>
      <w:r w:rsidR="00A04231">
        <w:rPr>
          <w:rFonts w:asciiTheme="minorHAnsi" w:hAnsiTheme="minorHAnsi"/>
          <w:sz w:val="22"/>
          <w:szCs w:val="22"/>
        </w:rPr>
        <w:t>two</w:t>
      </w:r>
      <w:r w:rsidR="00E82120" w:rsidRPr="00FC6E42">
        <w:rPr>
          <w:rFonts w:asciiTheme="minorHAnsi" w:hAnsiTheme="minorHAnsi"/>
          <w:sz w:val="22"/>
          <w:szCs w:val="22"/>
        </w:rPr>
        <w:t xml:space="preserve"> adaptive management capabilities </w:t>
      </w:r>
      <w:r w:rsidR="00896A92" w:rsidRPr="00FC6E42">
        <w:rPr>
          <w:rFonts w:asciiTheme="minorHAnsi" w:hAnsiTheme="minorHAnsi"/>
          <w:sz w:val="22"/>
          <w:szCs w:val="22"/>
        </w:rPr>
        <w:t>of Polluter P</w:t>
      </w:r>
      <w:r w:rsidRPr="00FC6E42">
        <w:rPr>
          <w:rFonts w:asciiTheme="minorHAnsi" w:hAnsiTheme="minorHAnsi"/>
          <w:sz w:val="22"/>
          <w:szCs w:val="22"/>
        </w:rPr>
        <w:t>ays</w:t>
      </w:r>
      <w:r w:rsidR="004000F9" w:rsidRPr="00FC6E42">
        <w:rPr>
          <w:rFonts w:asciiTheme="minorHAnsi" w:hAnsiTheme="minorHAnsi"/>
          <w:sz w:val="22"/>
          <w:szCs w:val="22"/>
        </w:rPr>
        <w:t xml:space="preserve">: </w:t>
      </w:r>
      <w:r w:rsidRPr="00FC6E42">
        <w:rPr>
          <w:rFonts w:asciiTheme="minorHAnsi" w:hAnsiTheme="minorHAnsi"/>
          <w:sz w:val="22"/>
          <w:szCs w:val="22"/>
        </w:rPr>
        <w:t>fee</w:t>
      </w:r>
      <w:r w:rsidR="004D0DC9" w:rsidRPr="00FC6E42">
        <w:rPr>
          <w:rFonts w:asciiTheme="minorHAnsi" w:hAnsiTheme="minorHAnsi"/>
          <w:sz w:val="22"/>
          <w:szCs w:val="22"/>
        </w:rPr>
        <w:t xml:space="preserve">s can be changed to change </w:t>
      </w:r>
      <w:r w:rsidRPr="00FC6E42">
        <w:rPr>
          <w:rFonts w:asciiTheme="minorHAnsi" w:hAnsiTheme="minorHAnsi"/>
          <w:sz w:val="22"/>
          <w:szCs w:val="22"/>
        </w:rPr>
        <w:t>incentive</w:t>
      </w:r>
      <w:r w:rsidR="004D0DC9" w:rsidRPr="00FC6E42">
        <w:rPr>
          <w:rFonts w:asciiTheme="minorHAnsi" w:hAnsiTheme="minorHAnsi"/>
          <w:sz w:val="22"/>
          <w:szCs w:val="22"/>
        </w:rPr>
        <w:t xml:space="preserve">s and </w:t>
      </w:r>
      <w:r w:rsidR="00A04231">
        <w:rPr>
          <w:rFonts w:asciiTheme="minorHAnsi" w:hAnsiTheme="minorHAnsi"/>
          <w:sz w:val="22"/>
          <w:szCs w:val="22"/>
        </w:rPr>
        <w:t xml:space="preserve">thus </w:t>
      </w:r>
      <w:r w:rsidR="004D0DC9" w:rsidRPr="00FC6E42">
        <w:rPr>
          <w:rFonts w:asciiTheme="minorHAnsi" w:hAnsiTheme="minorHAnsi"/>
          <w:sz w:val="22"/>
          <w:szCs w:val="22"/>
        </w:rPr>
        <w:t>pollution reduction trajectory</w:t>
      </w:r>
      <w:r w:rsidR="004000F9" w:rsidRPr="00FC6E42">
        <w:rPr>
          <w:rFonts w:asciiTheme="minorHAnsi" w:hAnsiTheme="minorHAnsi"/>
          <w:sz w:val="22"/>
          <w:szCs w:val="22"/>
        </w:rPr>
        <w:t xml:space="preserve">; and </w:t>
      </w:r>
      <w:r w:rsidR="00E82120" w:rsidRPr="00FC6E42">
        <w:rPr>
          <w:rFonts w:asciiTheme="minorHAnsi" w:hAnsiTheme="minorHAnsi"/>
          <w:sz w:val="22"/>
          <w:szCs w:val="22"/>
        </w:rPr>
        <w:t xml:space="preserve">the time period over which the change needs to </w:t>
      </w:r>
      <w:r w:rsidR="004000F9" w:rsidRPr="00FC6E42">
        <w:rPr>
          <w:rFonts w:asciiTheme="minorHAnsi" w:hAnsiTheme="minorHAnsi"/>
          <w:sz w:val="22"/>
          <w:szCs w:val="22"/>
        </w:rPr>
        <w:t xml:space="preserve">be made does </w:t>
      </w:r>
      <w:r w:rsidR="00E82120" w:rsidRPr="00FC6E42">
        <w:rPr>
          <w:rFonts w:asciiTheme="minorHAnsi" w:hAnsiTheme="minorHAnsi"/>
          <w:sz w:val="22"/>
          <w:szCs w:val="22"/>
        </w:rPr>
        <w:t>give time to make some adaptations</w:t>
      </w:r>
      <w:r w:rsidRPr="00FC6E42">
        <w:rPr>
          <w:rFonts w:asciiTheme="minorHAnsi" w:hAnsiTheme="minorHAnsi"/>
          <w:sz w:val="22"/>
          <w:szCs w:val="22"/>
        </w:rPr>
        <w:t xml:space="preserve">.  </w:t>
      </w:r>
      <w:r w:rsidR="004D0DC9" w:rsidRPr="00FC6E42">
        <w:rPr>
          <w:rFonts w:asciiTheme="minorHAnsi" w:hAnsiTheme="minorHAnsi"/>
          <w:sz w:val="22"/>
          <w:szCs w:val="22"/>
        </w:rPr>
        <w:t xml:space="preserve"> </w:t>
      </w:r>
      <w:r w:rsidRPr="00FC6E42">
        <w:rPr>
          <w:rFonts w:asciiTheme="minorHAnsi" w:hAnsiTheme="minorHAnsi"/>
          <w:sz w:val="22"/>
          <w:szCs w:val="22"/>
        </w:rPr>
        <w:t xml:space="preserve">The fee is to manage an externality, thus </w:t>
      </w:r>
      <w:r w:rsidR="004000F9" w:rsidRPr="00FC6E42">
        <w:rPr>
          <w:rFonts w:asciiTheme="minorHAnsi" w:hAnsiTheme="minorHAnsi"/>
          <w:sz w:val="22"/>
          <w:szCs w:val="22"/>
        </w:rPr>
        <w:t xml:space="preserve">will go </w:t>
      </w:r>
      <w:r w:rsidRPr="00FC6E42">
        <w:rPr>
          <w:rFonts w:asciiTheme="minorHAnsi" w:hAnsiTheme="minorHAnsi"/>
          <w:sz w:val="22"/>
          <w:szCs w:val="22"/>
        </w:rPr>
        <w:t xml:space="preserve">at least part way to internalising costs that have previously been socialised.  </w:t>
      </w:r>
      <w:r w:rsidR="00A04231" w:rsidRPr="00FC6E42">
        <w:rPr>
          <w:rFonts w:asciiTheme="minorHAnsi" w:hAnsiTheme="minorHAnsi"/>
          <w:sz w:val="22"/>
          <w:szCs w:val="22"/>
        </w:rPr>
        <w:t xml:space="preserve">An appropriately set charge regime would drive pollution reduction behaviour. </w:t>
      </w:r>
      <w:r w:rsidRPr="00FC6E42">
        <w:rPr>
          <w:rFonts w:asciiTheme="minorHAnsi" w:hAnsiTheme="minorHAnsi"/>
          <w:sz w:val="22"/>
          <w:szCs w:val="22"/>
        </w:rPr>
        <w:t xml:space="preserve">Much has been made of the cost imposition that the allocation process will have on high-emitting land uses, and how it might make them uneconomic.  </w:t>
      </w:r>
      <w:r w:rsidR="004D0DC9" w:rsidRPr="00FC6E42">
        <w:rPr>
          <w:rFonts w:asciiTheme="minorHAnsi" w:hAnsiTheme="minorHAnsi"/>
          <w:sz w:val="22"/>
          <w:szCs w:val="22"/>
        </w:rPr>
        <w:t xml:space="preserve">If the only way </w:t>
      </w:r>
      <w:r w:rsidRPr="00FC6E42">
        <w:rPr>
          <w:rFonts w:asciiTheme="minorHAnsi" w:hAnsiTheme="minorHAnsi"/>
          <w:sz w:val="22"/>
          <w:szCs w:val="22"/>
        </w:rPr>
        <w:t>they remain economic is by transferring the cost of their pollution onto other parties, this is unsustainable</w:t>
      </w:r>
      <w:r w:rsidR="004D0DC9" w:rsidRPr="00FC6E42">
        <w:rPr>
          <w:rFonts w:asciiTheme="minorHAnsi" w:hAnsiTheme="minorHAnsi"/>
          <w:sz w:val="22"/>
          <w:szCs w:val="22"/>
        </w:rPr>
        <w:t xml:space="preserve"> and uneconomic for the country</w:t>
      </w:r>
      <w:r w:rsidR="004000F9" w:rsidRPr="00FC6E42">
        <w:rPr>
          <w:rFonts w:asciiTheme="minorHAnsi" w:hAnsiTheme="minorHAnsi"/>
          <w:sz w:val="22"/>
          <w:szCs w:val="22"/>
        </w:rPr>
        <w:t xml:space="preserve"> at large</w:t>
      </w:r>
      <w:r w:rsidRPr="00FC6E42">
        <w:rPr>
          <w:rFonts w:asciiTheme="minorHAnsi" w:hAnsiTheme="minorHAnsi"/>
          <w:sz w:val="22"/>
          <w:szCs w:val="22"/>
        </w:rPr>
        <w:t xml:space="preserve">.  </w:t>
      </w:r>
    </w:p>
    <w:p w:rsidR="00A04231" w:rsidRPr="00A04231" w:rsidRDefault="00A04231" w:rsidP="00A04231">
      <w:pPr>
        <w:pStyle w:val="Default"/>
        <w:ind w:left="501"/>
        <w:rPr>
          <w:rFonts w:asciiTheme="minorHAnsi" w:hAnsiTheme="minorHAnsi"/>
          <w:color w:val="000000" w:themeColor="text1"/>
          <w:sz w:val="22"/>
          <w:szCs w:val="22"/>
        </w:rPr>
      </w:pPr>
    </w:p>
    <w:p w:rsidR="006B3B2F" w:rsidRPr="00A04231" w:rsidRDefault="006B3B2F" w:rsidP="00F8173A">
      <w:pPr>
        <w:pStyle w:val="Default"/>
        <w:numPr>
          <w:ilvl w:val="0"/>
          <w:numId w:val="28"/>
        </w:numPr>
        <w:rPr>
          <w:rFonts w:asciiTheme="minorHAnsi" w:hAnsiTheme="minorHAnsi"/>
          <w:color w:val="000000" w:themeColor="text1"/>
          <w:sz w:val="22"/>
          <w:szCs w:val="22"/>
        </w:rPr>
      </w:pPr>
      <w:r w:rsidRPr="00FC6E42">
        <w:rPr>
          <w:rFonts w:asciiTheme="minorHAnsi" w:hAnsiTheme="minorHAnsi"/>
          <w:sz w:val="22"/>
          <w:szCs w:val="22"/>
        </w:rPr>
        <w:t xml:space="preserve">New Zealand </w:t>
      </w:r>
      <w:r w:rsidR="00921108" w:rsidRPr="00FC6E42">
        <w:rPr>
          <w:rFonts w:asciiTheme="minorHAnsi" w:hAnsiTheme="minorHAnsi"/>
          <w:sz w:val="22"/>
          <w:szCs w:val="22"/>
        </w:rPr>
        <w:t>operat</w:t>
      </w:r>
      <w:r w:rsidR="004000F9" w:rsidRPr="00FC6E42">
        <w:rPr>
          <w:rFonts w:asciiTheme="minorHAnsi" w:hAnsiTheme="minorHAnsi"/>
          <w:sz w:val="22"/>
          <w:szCs w:val="22"/>
        </w:rPr>
        <w:t xml:space="preserve">es a </w:t>
      </w:r>
      <w:r w:rsidR="00921108" w:rsidRPr="00FC6E42">
        <w:rPr>
          <w:rFonts w:asciiTheme="minorHAnsi" w:hAnsiTheme="minorHAnsi"/>
          <w:sz w:val="22"/>
          <w:szCs w:val="22"/>
        </w:rPr>
        <w:t>close-</w:t>
      </w:r>
      <w:r w:rsidRPr="00FC6E42">
        <w:rPr>
          <w:rFonts w:asciiTheme="minorHAnsi" w:hAnsiTheme="minorHAnsi"/>
          <w:sz w:val="22"/>
          <w:szCs w:val="22"/>
        </w:rPr>
        <w:t>to free market system</w:t>
      </w:r>
      <w:r w:rsidR="004000F9" w:rsidRPr="00FC6E42">
        <w:rPr>
          <w:rFonts w:asciiTheme="minorHAnsi" w:hAnsiTheme="minorHAnsi"/>
          <w:sz w:val="22"/>
          <w:szCs w:val="22"/>
        </w:rPr>
        <w:t xml:space="preserve"> with a low level of subsidies.  An effect of this is </w:t>
      </w:r>
      <w:r w:rsidRPr="00FC6E42">
        <w:rPr>
          <w:rFonts w:asciiTheme="minorHAnsi" w:hAnsiTheme="minorHAnsi"/>
          <w:sz w:val="22"/>
          <w:szCs w:val="22"/>
        </w:rPr>
        <w:t xml:space="preserve">that </w:t>
      </w:r>
      <w:r w:rsidR="004000F9" w:rsidRPr="00FC6E42">
        <w:rPr>
          <w:rFonts w:asciiTheme="minorHAnsi" w:hAnsiTheme="minorHAnsi"/>
          <w:sz w:val="22"/>
          <w:szCs w:val="22"/>
        </w:rPr>
        <w:t>at</w:t>
      </w:r>
      <w:r w:rsidRPr="00FC6E42">
        <w:rPr>
          <w:rFonts w:asciiTheme="minorHAnsi" w:hAnsiTheme="minorHAnsi"/>
          <w:sz w:val="22"/>
          <w:szCs w:val="22"/>
        </w:rPr>
        <w:t xml:space="preserve"> times various enterprises</w:t>
      </w:r>
      <w:r w:rsidR="004000F9" w:rsidRPr="00FC6E42">
        <w:rPr>
          <w:rFonts w:asciiTheme="minorHAnsi" w:hAnsiTheme="minorHAnsi"/>
          <w:sz w:val="22"/>
          <w:szCs w:val="22"/>
        </w:rPr>
        <w:t xml:space="preserve"> </w:t>
      </w:r>
      <w:r w:rsidR="00921108" w:rsidRPr="00FC6E42">
        <w:rPr>
          <w:rFonts w:asciiTheme="minorHAnsi" w:hAnsiTheme="minorHAnsi"/>
          <w:sz w:val="22"/>
          <w:szCs w:val="22"/>
        </w:rPr>
        <w:t>become</w:t>
      </w:r>
      <w:r w:rsidRPr="00FC6E42">
        <w:rPr>
          <w:rFonts w:asciiTheme="minorHAnsi" w:hAnsiTheme="minorHAnsi"/>
          <w:sz w:val="22"/>
          <w:szCs w:val="22"/>
        </w:rPr>
        <w:t xml:space="preserve"> </w:t>
      </w:r>
      <w:r w:rsidR="00921108" w:rsidRPr="00FC6E42">
        <w:rPr>
          <w:rFonts w:asciiTheme="minorHAnsi" w:hAnsiTheme="minorHAnsi"/>
          <w:sz w:val="22"/>
          <w:szCs w:val="22"/>
        </w:rPr>
        <w:t>un</w:t>
      </w:r>
      <w:r w:rsidRPr="00FC6E42">
        <w:rPr>
          <w:rFonts w:asciiTheme="minorHAnsi" w:hAnsiTheme="minorHAnsi"/>
          <w:sz w:val="22"/>
          <w:szCs w:val="22"/>
        </w:rPr>
        <w:t>economic.  This is how land use choices have worked for the last 100 years or so.</w:t>
      </w:r>
      <w:r w:rsidR="00921108" w:rsidRPr="00FC6E42">
        <w:rPr>
          <w:rFonts w:asciiTheme="minorHAnsi" w:hAnsiTheme="minorHAnsi"/>
          <w:sz w:val="22"/>
          <w:szCs w:val="22"/>
        </w:rPr>
        <w:t xml:space="preserve">  </w:t>
      </w:r>
      <w:r w:rsidR="004000F9" w:rsidRPr="00FC6E42">
        <w:rPr>
          <w:rFonts w:asciiTheme="minorHAnsi" w:hAnsiTheme="minorHAnsi"/>
          <w:sz w:val="22"/>
          <w:szCs w:val="22"/>
        </w:rPr>
        <w:t>T</w:t>
      </w:r>
      <w:r w:rsidRPr="00FC6E42">
        <w:rPr>
          <w:rFonts w:asciiTheme="minorHAnsi" w:hAnsiTheme="minorHAnsi"/>
          <w:sz w:val="22"/>
          <w:szCs w:val="22"/>
        </w:rPr>
        <w:t xml:space="preserve">his </w:t>
      </w:r>
      <w:r w:rsidR="004000F9" w:rsidRPr="00FC6E42">
        <w:rPr>
          <w:rFonts w:asciiTheme="minorHAnsi" w:hAnsiTheme="minorHAnsi"/>
          <w:sz w:val="22"/>
          <w:szCs w:val="22"/>
        </w:rPr>
        <w:t>P</w:t>
      </w:r>
      <w:r w:rsidRPr="00FC6E42">
        <w:rPr>
          <w:rFonts w:asciiTheme="minorHAnsi" w:hAnsiTheme="minorHAnsi"/>
          <w:sz w:val="22"/>
          <w:szCs w:val="22"/>
        </w:rPr>
        <w:t xml:space="preserve">lan </w:t>
      </w:r>
      <w:r w:rsidR="004000F9" w:rsidRPr="00FC6E42">
        <w:rPr>
          <w:rFonts w:asciiTheme="minorHAnsi" w:hAnsiTheme="minorHAnsi"/>
          <w:sz w:val="22"/>
          <w:szCs w:val="22"/>
        </w:rPr>
        <w:t xml:space="preserve">Change would </w:t>
      </w:r>
      <w:r w:rsidRPr="00FC6E42">
        <w:rPr>
          <w:rFonts w:asciiTheme="minorHAnsi" w:hAnsiTheme="minorHAnsi"/>
          <w:sz w:val="22"/>
          <w:szCs w:val="22"/>
        </w:rPr>
        <w:t xml:space="preserve">lock land use into its current form, purely because that </w:t>
      </w:r>
      <w:r w:rsidRPr="00FC6E42">
        <w:rPr>
          <w:rFonts w:asciiTheme="minorHAnsi" w:hAnsiTheme="minorHAnsi"/>
          <w:b/>
          <w:sz w:val="22"/>
          <w:szCs w:val="22"/>
        </w:rPr>
        <w:t>is</w:t>
      </w:r>
      <w:r w:rsidRPr="00FC6E42">
        <w:rPr>
          <w:rFonts w:asciiTheme="minorHAnsi" w:hAnsiTheme="minorHAnsi"/>
          <w:sz w:val="22"/>
          <w:szCs w:val="22"/>
        </w:rPr>
        <w:t xml:space="preserve"> its current form</w:t>
      </w:r>
      <w:r w:rsidR="004000F9" w:rsidRPr="00FC6E42">
        <w:rPr>
          <w:rFonts w:asciiTheme="minorHAnsi" w:hAnsiTheme="minorHAnsi"/>
          <w:sz w:val="22"/>
          <w:szCs w:val="22"/>
        </w:rPr>
        <w:t>.  This runs</w:t>
      </w:r>
      <w:r w:rsidRPr="00FC6E42">
        <w:rPr>
          <w:rFonts w:asciiTheme="minorHAnsi" w:hAnsiTheme="minorHAnsi"/>
          <w:sz w:val="22"/>
          <w:szCs w:val="22"/>
        </w:rPr>
        <w:t xml:space="preserve"> counter to the normal functioning of markets in New Zealand</w:t>
      </w:r>
      <w:r w:rsidR="00FC6E42" w:rsidRPr="00FC6E42">
        <w:rPr>
          <w:rFonts w:asciiTheme="minorHAnsi" w:hAnsiTheme="minorHAnsi"/>
          <w:sz w:val="22"/>
          <w:szCs w:val="22"/>
        </w:rPr>
        <w:t xml:space="preserve"> and would prevent flexible responses to</w:t>
      </w:r>
      <w:r w:rsidR="00FC6E42">
        <w:t xml:space="preserve"> </w:t>
      </w:r>
      <w:r w:rsidR="00FC6E42" w:rsidRPr="00FC6E42">
        <w:rPr>
          <w:rFonts w:asciiTheme="minorHAnsi" w:hAnsiTheme="minorHAnsi"/>
          <w:sz w:val="22"/>
          <w:szCs w:val="22"/>
        </w:rPr>
        <w:t>changing circumstances.  At the Stag June 2015 meeting Dr Nicky Smith</w:t>
      </w:r>
      <w:r w:rsidR="00A04231">
        <w:rPr>
          <w:rStyle w:val="FootnoteReference"/>
          <w:rFonts w:asciiTheme="minorHAnsi" w:hAnsiTheme="minorHAnsi"/>
          <w:sz w:val="22"/>
          <w:szCs w:val="22"/>
        </w:rPr>
        <w:footnoteReference w:id="12"/>
      </w:r>
      <w:r w:rsidR="00FC6E42" w:rsidRPr="00FC6E42">
        <w:rPr>
          <w:rFonts w:asciiTheme="minorHAnsi" w:hAnsiTheme="minorHAnsi"/>
          <w:sz w:val="22"/>
          <w:szCs w:val="22"/>
        </w:rPr>
        <w:t xml:space="preserve"> identified some </w:t>
      </w:r>
      <w:r w:rsidR="00FC6E42" w:rsidRPr="00FC6E42">
        <w:rPr>
          <w:rFonts w:asciiTheme="minorHAnsi" w:hAnsiTheme="minorHAnsi"/>
          <w:color w:val="000000" w:themeColor="text1"/>
          <w:sz w:val="22"/>
          <w:szCs w:val="22"/>
        </w:rPr>
        <w:t>considerations and cautions of locking into a policy regime that would freeze land use</w:t>
      </w:r>
      <w:r w:rsidR="0045448E">
        <w:rPr>
          <w:rFonts w:asciiTheme="minorHAnsi" w:hAnsiTheme="minorHAnsi"/>
          <w:color w:val="000000" w:themeColor="text1"/>
          <w:sz w:val="22"/>
          <w:szCs w:val="22"/>
        </w:rPr>
        <w:t xml:space="preserve"> to current patterns</w:t>
      </w:r>
      <w:r w:rsidR="00FC6E42" w:rsidRPr="00FC6E42">
        <w:rPr>
          <w:rFonts w:asciiTheme="minorHAnsi" w:hAnsiTheme="minorHAnsi"/>
          <w:color w:val="000000" w:themeColor="text1"/>
          <w:sz w:val="22"/>
          <w:szCs w:val="22"/>
        </w:rPr>
        <w:t xml:space="preserve">.  Firstly that the relatively long time horizon for this policy (&gt;15years) i.e. </w:t>
      </w:r>
      <w:r w:rsidR="0045448E">
        <w:rPr>
          <w:rFonts w:asciiTheme="minorHAnsi" w:hAnsiTheme="minorHAnsi"/>
          <w:color w:val="000000" w:themeColor="text1"/>
          <w:sz w:val="22"/>
          <w:szCs w:val="22"/>
        </w:rPr>
        <w:t>a number of other factors affecting enterprise profitability might</w:t>
      </w:r>
      <w:r w:rsidR="00FC6E42" w:rsidRPr="00FC6E42">
        <w:rPr>
          <w:rFonts w:asciiTheme="minorHAnsi" w:hAnsiTheme="minorHAnsi"/>
          <w:color w:val="000000" w:themeColor="text1"/>
          <w:sz w:val="22"/>
          <w:szCs w:val="22"/>
        </w:rPr>
        <w:t xml:space="preserve"> change.  Secondly that the model assumes structural relationships and relative agricultural prices will continue to grow at a relatively higher rate than forestry.  </w:t>
      </w:r>
      <w:r w:rsidR="0045448E">
        <w:rPr>
          <w:rFonts w:asciiTheme="minorHAnsi" w:hAnsiTheme="minorHAnsi"/>
          <w:color w:val="000000" w:themeColor="text1"/>
          <w:sz w:val="22"/>
          <w:szCs w:val="22"/>
        </w:rPr>
        <w:t xml:space="preserve">This may not be so. </w:t>
      </w:r>
      <w:r w:rsidR="00FC6E42" w:rsidRPr="00FC6E42">
        <w:rPr>
          <w:rFonts w:asciiTheme="minorHAnsi" w:hAnsiTheme="minorHAnsi"/>
          <w:color w:val="000000" w:themeColor="text1"/>
          <w:sz w:val="22"/>
          <w:szCs w:val="22"/>
        </w:rPr>
        <w:t xml:space="preserve">Thirdly </w:t>
      </w:r>
      <w:r w:rsidR="00FC6E42">
        <w:rPr>
          <w:rFonts w:asciiTheme="minorHAnsi" w:hAnsiTheme="minorHAnsi"/>
          <w:color w:val="000000" w:themeColor="text1"/>
          <w:sz w:val="22"/>
          <w:szCs w:val="22"/>
        </w:rPr>
        <w:t>there is p</w:t>
      </w:r>
      <w:r w:rsidR="00FC6E42" w:rsidRPr="00FC6E42">
        <w:rPr>
          <w:rFonts w:asciiTheme="minorHAnsi" w:hAnsiTheme="minorHAnsi"/>
          <w:color w:val="000000" w:themeColor="text1"/>
          <w:sz w:val="22"/>
          <w:szCs w:val="22"/>
        </w:rPr>
        <w:t>otential for other low N land use and N mitigation options will emerge</w:t>
      </w:r>
      <w:r w:rsidR="00FC6E42">
        <w:rPr>
          <w:rFonts w:asciiTheme="minorHAnsi" w:hAnsiTheme="minorHAnsi"/>
          <w:color w:val="000000" w:themeColor="text1"/>
          <w:sz w:val="22"/>
          <w:szCs w:val="22"/>
        </w:rPr>
        <w:t>, and the model doesn’t contemplate those or how to fit them in.</w:t>
      </w:r>
    </w:p>
    <w:p w:rsidR="006B3B2F" w:rsidRDefault="006B3B2F" w:rsidP="00C15ABB">
      <w:pPr>
        <w:pStyle w:val="Default"/>
        <w:ind w:left="142"/>
        <w:rPr>
          <w:rFonts w:asciiTheme="minorHAnsi" w:hAnsiTheme="minorHAnsi"/>
          <w:sz w:val="22"/>
          <w:szCs w:val="22"/>
        </w:rPr>
      </w:pPr>
    </w:p>
    <w:p w:rsidR="006B3B2F" w:rsidRPr="007F1880" w:rsidRDefault="006B3B2F" w:rsidP="007F1880">
      <w:pPr>
        <w:rPr>
          <w:b/>
          <w:sz w:val="24"/>
          <w:szCs w:val="24"/>
        </w:rPr>
      </w:pPr>
      <w:r w:rsidRPr="007F1880">
        <w:rPr>
          <w:b/>
          <w:sz w:val="24"/>
          <w:szCs w:val="24"/>
        </w:rPr>
        <w:t>How well are the series of compromises to reach a workable solution elucidated?</w:t>
      </w:r>
    </w:p>
    <w:p w:rsidR="006B3B2F" w:rsidRDefault="001019E0" w:rsidP="00F8173A">
      <w:pPr>
        <w:pStyle w:val="Default"/>
        <w:numPr>
          <w:ilvl w:val="0"/>
          <w:numId w:val="28"/>
        </w:numPr>
        <w:rPr>
          <w:rFonts w:asciiTheme="minorHAnsi" w:hAnsiTheme="minorHAnsi"/>
          <w:sz w:val="22"/>
          <w:szCs w:val="22"/>
        </w:rPr>
      </w:pPr>
      <w:r>
        <w:rPr>
          <w:rFonts w:asciiTheme="minorHAnsi" w:hAnsiTheme="minorHAnsi"/>
          <w:sz w:val="22"/>
          <w:szCs w:val="22"/>
        </w:rPr>
        <w:t>C</w:t>
      </w:r>
      <w:r w:rsidR="006B3B2F" w:rsidRPr="00E21ADB">
        <w:rPr>
          <w:rFonts w:asciiTheme="minorHAnsi" w:hAnsiTheme="minorHAnsi"/>
          <w:sz w:val="22"/>
          <w:szCs w:val="22"/>
        </w:rPr>
        <w:t xml:space="preserve">ompromises were made, but </w:t>
      </w:r>
      <w:r w:rsidR="007F1880">
        <w:rPr>
          <w:rFonts w:asciiTheme="minorHAnsi" w:hAnsiTheme="minorHAnsi"/>
          <w:sz w:val="22"/>
          <w:szCs w:val="22"/>
        </w:rPr>
        <w:t xml:space="preserve">many of </w:t>
      </w:r>
      <w:r w:rsidR="006B3B2F" w:rsidRPr="00E21ADB">
        <w:rPr>
          <w:rFonts w:asciiTheme="minorHAnsi" w:hAnsiTheme="minorHAnsi"/>
          <w:sz w:val="22"/>
          <w:szCs w:val="22"/>
        </w:rPr>
        <w:t xml:space="preserve">these are not well </w:t>
      </w:r>
      <w:r w:rsidR="006B3B2F">
        <w:rPr>
          <w:rFonts w:asciiTheme="minorHAnsi" w:hAnsiTheme="minorHAnsi"/>
          <w:sz w:val="22"/>
          <w:szCs w:val="22"/>
        </w:rPr>
        <w:t>identified</w:t>
      </w:r>
      <w:r w:rsidR="0009018B">
        <w:rPr>
          <w:rFonts w:asciiTheme="minorHAnsi" w:hAnsiTheme="minorHAnsi"/>
          <w:sz w:val="22"/>
          <w:szCs w:val="22"/>
        </w:rPr>
        <w:t xml:space="preserve"> thus </w:t>
      </w:r>
      <w:r w:rsidR="00D509C5">
        <w:rPr>
          <w:rFonts w:asciiTheme="minorHAnsi" w:hAnsiTheme="minorHAnsi"/>
          <w:sz w:val="22"/>
          <w:szCs w:val="22"/>
        </w:rPr>
        <w:t>mechanism</w:t>
      </w:r>
      <w:r w:rsidR="0034176D">
        <w:rPr>
          <w:rFonts w:asciiTheme="minorHAnsi" w:hAnsiTheme="minorHAnsi"/>
          <w:sz w:val="22"/>
          <w:szCs w:val="22"/>
        </w:rPr>
        <w:t>s</w:t>
      </w:r>
      <w:r w:rsidR="00D509C5">
        <w:rPr>
          <w:rFonts w:asciiTheme="minorHAnsi" w:hAnsiTheme="minorHAnsi"/>
          <w:sz w:val="22"/>
          <w:szCs w:val="22"/>
        </w:rPr>
        <w:t xml:space="preserve"> to manage them </w:t>
      </w:r>
      <w:r>
        <w:rPr>
          <w:rFonts w:asciiTheme="minorHAnsi" w:hAnsiTheme="minorHAnsi"/>
          <w:sz w:val="22"/>
          <w:szCs w:val="22"/>
        </w:rPr>
        <w:t>well</w:t>
      </w:r>
      <w:r w:rsidR="0045448E">
        <w:rPr>
          <w:rFonts w:asciiTheme="minorHAnsi" w:hAnsiTheme="minorHAnsi"/>
          <w:sz w:val="22"/>
          <w:szCs w:val="22"/>
        </w:rPr>
        <w:t xml:space="preserve"> </w:t>
      </w:r>
      <w:r w:rsidR="0034176D">
        <w:rPr>
          <w:rFonts w:asciiTheme="minorHAnsi" w:hAnsiTheme="minorHAnsi"/>
          <w:sz w:val="22"/>
          <w:szCs w:val="22"/>
        </w:rPr>
        <w:t>are not</w:t>
      </w:r>
      <w:r w:rsidR="0045448E">
        <w:rPr>
          <w:rFonts w:asciiTheme="minorHAnsi" w:hAnsiTheme="minorHAnsi"/>
          <w:sz w:val="22"/>
          <w:szCs w:val="22"/>
        </w:rPr>
        <w:t xml:space="preserve"> evident</w:t>
      </w:r>
      <w:r w:rsidR="00D509C5">
        <w:rPr>
          <w:rFonts w:asciiTheme="minorHAnsi" w:hAnsiTheme="minorHAnsi"/>
          <w:sz w:val="22"/>
          <w:szCs w:val="22"/>
        </w:rPr>
        <w:t>.</w:t>
      </w:r>
      <w:r w:rsidR="006B3B2F">
        <w:rPr>
          <w:rFonts w:asciiTheme="minorHAnsi" w:hAnsiTheme="minorHAnsi"/>
          <w:sz w:val="22"/>
          <w:szCs w:val="22"/>
        </w:rPr>
        <w:t xml:space="preserve"> </w:t>
      </w:r>
      <w:r w:rsidR="0000209C">
        <w:rPr>
          <w:rFonts w:asciiTheme="minorHAnsi" w:hAnsiTheme="minorHAnsi"/>
          <w:sz w:val="22"/>
          <w:szCs w:val="22"/>
        </w:rPr>
        <w:t xml:space="preserve"> Compr</w:t>
      </w:r>
      <w:r w:rsidR="00C61153">
        <w:rPr>
          <w:rFonts w:asciiTheme="minorHAnsi" w:hAnsiTheme="minorHAnsi"/>
          <w:sz w:val="22"/>
          <w:szCs w:val="22"/>
        </w:rPr>
        <w:t>o</w:t>
      </w:r>
      <w:r w:rsidR="0000209C">
        <w:rPr>
          <w:rFonts w:asciiTheme="minorHAnsi" w:hAnsiTheme="minorHAnsi"/>
          <w:sz w:val="22"/>
          <w:szCs w:val="22"/>
        </w:rPr>
        <w:t>mises</w:t>
      </w:r>
      <w:r w:rsidR="006B3B2F">
        <w:rPr>
          <w:rFonts w:asciiTheme="minorHAnsi" w:hAnsiTheme="minorHAnsi"/>
          <w:sz w:val="22"/>
          <w:szCs w:val="22"/>
        </w:rPr>
        <w:t xml:space="preserve"> </w:t>
      </w:r>
      <w:r w:rsidR="00C61153">
        <w:rPr>
          <w:rFonts w:asciiTheme="minorHAnsi" w:hAnsiTheme="minorHAnsi"/>
          <w:sz w:val="22"/>
          <w:szCs w:val="22"/>
        </w:rPr>
        <w:t>made were:</w:t>
      </w:r>
    </w:p>
    <w:p w:rsidR="00C61153" w:rsidRDefault="00C61153" w:rsidP="0034176D">
      <w:pPr>
        <w:pStyle w:val="Default"/>
        <w:numPr>
          <w:ilvl w:val="0"/>
          <w:numId w:val="16"/>
        </w:numPr>
        <w:ind w:left="1080"/>
        <w:rPr>
          <w:rFonts w:asciiTheme="minorHAnsi" w:hAnsiTheme="minorHAnsi"/>
          <w:sz w:val="22"/>
          <w:szCs w:val="22"/>
        </w:rPr>
      </w:pPr>
      <w:r>
        <w:rPr>
          <w:rFonts w:asciiTheme="minorHAnsi" w:hAnsiTheme="minorHAnsi"/>
          <w:sz w:val="22"/>
          <w:szCs w:val="22"/>
        </w:rPr>
        <w:t>Starting with Rule 11</w:t>
      </w:r>
      <w:r w:rsidR="009F4894">
        <w:rPr>
          <w:rFonts w:asciiTheme="minorHAnsi" w:hAnsiTheme="minorHAnsi"/>
          <w:sz w:val="22"/>
          <w:szCs w:val="22"/>
        </w:rPr>
        <w:t>,</w:t>
      </w:r>
      <w:r>
        <w:rPr>
          <w:rFonts w:asciiTheme="minorHAnsi" w:hAnsiTheme="minorHAnsi"/>
          <w:sz w:val="22"/>
          <w:szCs w:val="22"/>
        </w:rPr>
        <w:t xml:space="preserve"> instead of zero basing</w:t>
      </w:r>
      <w:r w:rsidR="009F4894">
        <w:rPr>
          <w:rFonts w:asciiTheme="minorHAnsi" w:hAnsiTheme="minorHAnsi"/>
          <w:sz w:val="22"/>
          <w:szCs w:val="22"/>
        </w:rPr>
        <w:t>.  Th</w:t>
      </w:r>
      <w:r w:rsidR="000C7FBD">
        <w:rPr>
          <w:rFonts w:asciiTheme="minorHAnsi" w:hAnsiTheme="minorHAnsi"/>
          <w:sz w:val="22"/>
          <w:szCs w:val="22"/>
        </w:rPr>
        <w:t xml:space="preserve">e </w:t>
      </w:r>
      <w:r w:rsidR="0045448E">
        <w:rPr>
          <w:rFonts w:asciiTheme="minorHAnsi" w:hAnsiTheme="minorHAnsi"/>
          <w:sz w:val="22"/>
          <w:szCs w:val="22"/>
        </w:rPr>
        <w:t xml:space="preserve">Rule 11 </w:t>
      </w:r>
      <w:r w:rsidR="000C7FBD">
        <w:rPr>
          <w:rFonts w:asciiTheme="minorHAnsi" w:hAnsiTheme="minorHAnsi"/>
          <w:sz w:val="22"/>
          <w:szCs w:val="22"/>
        </w:rPr>
        <w:t xml:space="preserve">section 32 report and </w:t>
      </w:r>
      <w:r w:rsidR="0045448E">
        <w:rPr>
          <w:rFonts w:asciiTheme="minorHAnsi" w:hAnsiTheme="minorHAnsi"/>
          <w:sz w:val="22"/>
          <w:szCs w:val="22"/>
        </w:rPr>
        <w:t>5 year review</w:t>
      </w:r>
      <w:r w:rsidR="000C7FBD">
        <w:rPr>
          <w:rFonts w:asciiTheme="minorHAnsi" w:hAnsiTheme="minorHAnsi"/>
          <w:sz w:val="22"/>
          <w:szCs w:val="22"/>
        </w:rPr>
        <w:t xml:space="preserve"> both identified that zero basing should have occurred.  Th</w:t>
      </w:r>
      <w:r w:rsidR="0045448E">
        <w:rPr>
          <w:rFonts w:asciiTheme="minorHAnsi" w:hAnsiTheme="minorHAnsi"/>
          <w:sz w:val="22"/>
          <w:szCs w:val="22"/>
        </w:rPr>
        <w:t xml:space="preserve">e absence of zero basing </w:t>
      </w:r>
      <w:r w:rsidR="000C7FBD">
        <w:rPr>
          <w:rFonts w:asciiTheme="minorHAnsi" w:hAnsiTheme="minorHAnsi"/>
          <w:sz w:val="22"/>
          <w:szCs w:val="22"/>
        </w:rPr>
        <w:t xml:space="preserve">is not recorded as a compromise, and nor are the effects of this compromise </w:t>
      </w:r>
      <w:r w:rsidR="00E97470">
        <w:rPr>
          <w:rFonts w:asciiTheme="minorHAnsi" w:hAnsiTheme="minorHAnsi"/>
          <w:sz w:val="22"/>
          <w:szCs w:val="22"/>
        </w:rPr>
        <w:t xml:space="preserve">on various land owners </w:t>
      </w:r>
      <w:r w:rsidR="000C7FBD">
        <w:rPr>
          <w:rFonts w:asciiTheme="minorHAnsi" w:hAnsiTheme="minorHAnsi"/>
          <w:sz w:val="22"/>
          <w:szCs w:val="22"/>
        </w:rPr>
        <w:t>explored.  Th</w:t>
      </w:r>
      <w:r w:rsidR="009F4894">
        <w:rPr>
          <w:rFonts w:asciiTheme="minorHAnsi" w:hAnsiTheme="minorHAnsi"/>
          <w:sz w:val="22"/>
          <w:szCs w:val="22"/>
        </w:rPr>
        <w:t>is</w:t>
      </w:r>
      <w:r w:rsidR="000C7FBD">
        <w:rPr>
          <w:rFonts w:asciiTheme="minorHAnsi" w:hAnsiTheme="minorHAnsi"/>
          <w:sz w:val="22"/>
          <w:szCs w:val="22"/>
        </w:rPr>
        <w:t xml:space="preserve"> compromise</w:t>
      </w:r>
      <w:r w:rsidR="009F4894">
        <w:rPr>
          <w:rFonts w:asciiTheme="minorHAnsi" w:hAnsiTheme="minorHAnsi"/>
          <w:sz w:val="22"/>
          <w:szCs w:val="22"/>
        </w:rPr>
        <w:t xml:space="preserve"> immediately directed the policy choices to using the existing land use as a base</w:t>
      </w:r>
      <w:r w:rsidR="00E97470">
        <w:rPr>
          <w:rFonts w:asciiTheme="minorHAnsi" w:hAnsiTheme="minorHAnsi"/>
          <w:sz w:val="22"/>
          <w:szCs w:val="22"/>
        </w:rPr>
        <w:t xml:space="preserve"> and thus to grandparenting</w:t>
      </w:r>
      <w:r w:rsidR="009F4894">
        <w:rPr>
          <w:rFonts w:asciiTheme="minorHAnsi" w:hAnsiTheme="minorHAnsi"/>
          <w:sz w:val="22"/>
          <w:szCs w:val="22"/>
        </w:rPr>
        <w:t xml:space="preserve">.  </w:t>
      </w:r>
      <w:r w:rsidR="00C27BE3">
        <w:rPr>
          <w:rFonts w:asciiTheme="minorHAnsi" w:hAnsiTheme="minorHAnsi"/>
          <w:sz w:val="22"/>
          <w:szCs w:val="22"/>
        </w:rPr>
        <w:t>The massive constraint this puts on dynamic use of land and capital are not elucidated.</w:t>
      </w:r>
    </w:p>
    <w:p w:rsidR="00C61153" w:rsidRDefault="009E1AE5" w:rsidP="0034176D">
      <w:pPr>
        <w:pStyle w:val="Default"/>
        <w:numPr>
          <w:ilvl w:val="0"/>
          <w:numId w:val="16"/>
        </w:numPr>
        <w:ind w:left="1080"/>
        <w:rPr>
          <w:rFonts w:asciiTheme="minorHAnsi" w:hAnsiTheme="minorHAnsi"/>
          <w:sz w:val="22"/>
          <w:szCs w:val="22"/>
        </w:rPr>
      </w:pPr>
      <w:r>
        <w:rPr>
          <w:rFonts w:asciiTheme="minorHAnsi" w:hAnsiTheme="minorHAnsi"/>
          <w:sz w:val="22"/>
          <w:szCs w:val="22"/>
        </w:rPr>
        <w:t>U</w:t>
      </w:r>
      <w:r w:rsidR="00E97470">
        <w:rPr>
          <w:rFonts w:asciiTheme="minorHAnsi" w:hAnsiTheme="minorHAnsi"/>
          <w:sz w:val="22"/>
          <w:szCs w:val="22"/>
        </w:rPr>
        <w:t>s</w:t>
      </w:r>
      <w:r>
        <w:rPr>
          <w:rFonts w:asciiTheme="minorHAnsi" w:hAnsiTheme="minorHAnsi"/>
          <w:sz w:val="22"/>
          <w:szCs w:val="22"/>
        </w:rPr>
        <w:t>ing</w:t>
      </w:r>
      <w:r w:rsidR="00E97470">
        <w:rPr>
          <w:rFonts w:asciiTheme="minorHAnsi" w:hAnsiTheme="minorHAnsi"/>
          <w:sz w:val="22"/>
          <w:szCs w:val="22"/>
        </w:rPr>
        <w:t xml:space="preserve"> a model that was deeply flawed for the task of N </w:t>
      </w:r>
      <w:r w:rsidR="000C7FBD">
        <w:rPr>
          <w:rFonts w:asciiTheme="minorHAnsi" w:hAnsiTheme="minorHAnsi"/>
          <w:sz w:val="22"/>
          <w:szCs w:val="22"/>
        </w:rPr>
        <w:t>allocation</w:t>
      </w:r>
      <w:r w:rsidR="00BC0F9E">
        <w:rPr>
          <w:rFonts w:asciiTheme="minorHAnsi" w:hAnsiTheme="minorHAnsi"/>
          <w:sz w:val="22"/>
          <w:szCs w:val="22"/>
        </w:rPr>
        <w:t xml:space="preserve"> at an enterprise level</w:t>
      </w:r>
      <w:r w:rsidR="000C7FBD">
        <w:rPr>
          <w:rFonts w:asciiTheme="minorHAnsi" w:hAnsiTheme="minorHAnsi"/>
          <w:sz w:val="22"/>
          <w:szCs w:val="22"/>
        </w:rPr>
        <w:t xml:space="preserve">.  </w:t>
      </w:r>
      <w:r w:rsidR="0045448E">
        <w:rPr>
          <w:rFonts w:asciiTheme="minorHAnsi" w:hAnsiTheme="minorHAnsi"/>
          <w:sz w:val="22"/>
          <w:szCs w:val="22"/>
        </w:rPr>
        <w:t>M</w:t>
      </w:r>
      <w:r w:rsidR="00BC0F9E">
        <w:rPr>
          <w:rFonts w:asciiTheme="minorHAnsi" w:hAnsiTheme="minorHAnsi"/>
          <w:sz w:val="22"/>
          <w:szCs w:val="22"/>
        </w:rPr>
        <w:t>ost</w:t>
      </w:r>
      <w:r w:rsidR="00E97470">
        <w:rPr>
          <w:rFonts w:asciiTheme="minorHAnsi" w:hAnsiTheme="minorHAnsi"/>
          <w:sz w:val="22"/>
          <w:szCs w:val="22"/>
        </w:rPr>
        <w:t xml:space="preserve"> </w:t>
      </w:r>
      <w:r w:rsidR="000C7FBD">
        <w:rPr>
          <w:rFonts w:asciiTheme="minorHAnsi" w:hAnsiTheme="minorHAnsi"/>
          <w:sz w:val="22"/>
          <w:szCs w:val="22"/>
        </w:rPr>
        <w:t>effort w</w:t>
      </w:r>
      <w:r w:rsidR="0045448E">
        <w:rPr>
          <w:rFonts w:asciiTheme="minorHAnsi" w:hAnsiTheme="minorHAnsi"/>
          <w:sz w:val="22"/>
          <w:szCs w:val="22"/>
        </w:rPr>
        <w:t>ent into</w:t>
      </w:r>
      <w:r w:rsidR="000C7FBD">
        <w:rPr>
          <w:rFonts w:asciiTheme="minorHAnsi" w:hAnsiTheme="minorHAnsi"/>
          <w:sz w:val="22"/>
          <w:szCs w:val="22"/>
        </w:rPr>
        <w:t xml:space="preserve"> justify</w:t>
      </w:r>
      <w:r w:rsidR="00E97470">
        <w:rPr>
          <w:rFonts w:asciiTheme="minorHAnsi" w:hAnsiTheme="minorHAnsi"/>
          <w:sz w:val="22"/>
          <w:szCs w:val="22"/>
        </w:rPr>
        <w:t>ing</w:t>
      </w:r>
      <w:r w:rsidR="000C7FBD">
        <w:rPr>
          <w:rFonts w:asciiTheme="minorHAnsi" w:hAnsiTheme="minorHAnsi"/>
          <w:sz w:val="22"/>
          <w:szCs w:val="22"/>
        </w:rPr>
        <w:t xml:space="preserve"> its use</w:t>
      </w:r>
      <w:r w:rsidR="0045448E">
        <w:rPr>
          <w:rFonts w:asciiTheme="minorHAnsi" w:hAnsiTheme="minorHAnsi"/>
          <w:sz w:val="22"/>
          <w:szCs w:val="22"/>
        </w:rPr>
        <w:t xml:space="preserve"> rather than elucidating the compromises </w:t>
      </w:r>
      <w:r>
        <w:rPr>
          <w:rFonts w:asciiTheme="minorHAnsi" w:hAnsiTheme="minorHAnsi"/>
          <w:sz w:val="22"/>
          <w:szCs w:val="22"/>
        </w:rPr>
        <w:t>required</w:t>
      </w:r>
      <w:r w:rsidR="000C7FBD">
        <w:rPr>
          <w:rFonts w:asciiTheme="minorHAnsi" w:hAnsiTheme="minorHAnsi"/>
          <w:sz w:val="22"/>
          <w:szCs w:val="22"/>
        </w:rPr>
        <w:t>.</w:t>
      </w:r>
    </w:p>
    <w:p w:rsidR="00C61153" w:rsidRDefault="00C61153" w:rsidP="0034176D">
      <w:pPr>
        <w:pStyle w:val="Default"/>
        <w:numPr>
          <w:ilvl w:val="0"/>
          <w:numId w:val="16"/>
        </w:numPr>
        <w:ind w:left="1080"/>
        <w:rPr>
          <w:rFonts w:asciiTheme="minorHAnsi" w:hAnsiTheme="minorHAnsi"/>
          <w:sz w:val="22"/>
          <w:szCs w:val="22"/>
        </w:rPr>
      </w:pPr>
      <w:r>
        <w:rPr>
          <w:rFonts w:asciiTheme="minorHAnsi" w:hAnsiTheme="minorHAnsi"/>
          <w:sz w:val="22"/>
          <w:szCs w:val="22"/>
        </w:rPr>
        <w:t xml:space="preserve">Allowing the solution to be developed by </w:t>
      </w:r>
      <w:r w:rsidR="00E97470">
        <w:rPr>
          <w:rFonts w:asciiTheme="minorHAnsi" w:hAnsiTheme="minorHAnsi"/>
          <w:sz w:val="22"/>
          <w:szCs w:val="22"/>
        </w:rPr>
        <w:t xml:space="preserve">the </w:t>
      </w:r>
      <w:r>
        <w:rPr>
          <w:rFonts w:asciiTheme="minorHAnsi" w:hAnsiTheme="minorHAnsi"/>
          <w:sz w:val="22"/>
          <w:szCs w:val="22"/>
        </w:rPr>
        <w:t>group</w:t>
      </w:r>
      <w:r w:rsidR="00E97470">
        <w:rPr>
          <w:rFonts w:asciiTheme="minorHAnsi" w:hAnsiTheme="minorHAnsi"/>
          <w:sz w:val="22"/>
          <w:szCs w:val="22"/>
        </w:rPr>
        <w:t xml:space="preserve"> with the most to gain.  This </w:t>
      </w:r>
      <w:r w:rsidR="009E1AE5">
        <w:rPr>
          <w:rFonts w:asciiTheme="minorHAnsi" w:hAnsiTheme="minorHAnsi"/>
          <w:sz w:val="22"/>
          <w:szCs w:val="22"/>
        </w:rPr>
        <w:t xml:space="preserve">compromise or the risks involved </w:t>
      </w:r>
      <w:r w:rsidR="00E97470">
        <w:rPr>
          <w:rFonts w:asciiTheme="minorHAnsi" w:hAnsiTheme="minorHAnsi"/>
          <w:sz w:val="22"/>
          <w:szCs w:val="22"/>
        </w:rPr>
        <w:t xml:space="preserve">was not identified or elucidated. </w:t>
      </w:r>
    </w:p>
    <w:p w:rsidR="00C61153" w:rsidRDefault="009E1AE5" w:rsidP="0034176D">
      <w:pPr>
        <w:pStyle w:val="Default"/>
        <w:numPr>
          <w:ilvl w:val="0"/>
          <w:numId w:val="16"/>
        </w:numPr>
        <w:ind w:left="1080"/>
        <w:rPr>
          <w:rFonts w:asciiTheme="minorHAnsi" w:hAnsiTheme="minorHAnsi"/>
          <w:sz w:val="22"/>
          <w:szCs w:val="22"/>
        </w:rPr>
      </w:pPr>
      <w:r>
        <w:rPr>
          <w:rFonts w:asciiTheme="minorHAnsi" w:hAnsiTheme="minorHAnsi"/>
          <w:sz w:val="22"/>
          <w:szCs w:val="22"/>
        </w:rPr>
        <w:t>I</w:t>
      </w:r>
      <w:r w:rsidR="00C61153">
        <w:rPr>
          <w:rFonts w:asciiTheme="minorHAnsi" w:hAnsiTheme="minorHAnsi"/>
          <w:sz w:val="22"/>
          <w:szCs w:val="22"/>
        </w:rPr>
        <w:t>gnor</w:t>
      </w:r>
      <w:r>
        <w:rPr>
          <w:rFonts w:asciiTheme="minorHAnsi" w:hAnsiTheme="minorHAnsi"/>
          <w:sz w:val="22"/>
          <w:szCs w:val="22"/>
        </w:rPr>
        <w:t>ing</w:t>
      </w:r>
      <w:r w:rsidR="00C61153">
        <w:rPr>
          <w:rFonts w:asciiTheme="minorHAnsi" w:hAnsiTheme="minorHAnsi"/>
          <w:sz w:val="22"/>
          <w:szCs w:val="22"/>
        </w:rPr>
        <w:t xml:space="preserve"> best and highest use for land</w:t>
      </w:r>
      <w:r w:rsidR="00332426">
        <w:rPr>
          <w:rFonts w:asciiTheme="minorHAnsi" w:hAnsiTheme="minorHAnsi"/>
          <w:sz w:val="22"/>
          <w:szCs w:val="22"/>
        </w:rPr>
        <w:t xml:space="preserve"> in favour of securing the enduring rights of those presently creating the most pollution.</w:t>
      </w:r>
      <w:r w:rsidR="00BC0F9E">
        <w:rPr>
          <w:rFonts w:asciiTheme="minorHAnsi" w:hAnsiTheme="minorHAnsi"/>
          <w:sz w:val="22"/>
          <w:szCs w:val="22"/>
        </w:rPr>
        <w:t xml:space="preserve"> </w:t>
      </w:r>
      <w:r>
        <w:rPr>
          <w:rFonts w:asciiTheme="minorHAnsi" w:hAnsiTheme="minorHAnsi"/>
          <w:sz w:val="22"/>
          <w:szCs w:val="22"/>
        </w:rPr>
        <w:t xml:space="preserve"> The full costs of this outcome are not elucidated.</w:t>
      </w:r>
    </w:p>
    <w:p w:rsidR="00C61153" w:rsidRDefault="00C61153" w:rsidP="00C61153">
      <w:pPr>
        <w:pStyle w:val="Default"/>
        <w:rPr>
          <w:rFonts w:asciiTheme="minorHAnsi" w:hAnsiTheme="minorHAnsi"/>
          <w:sz w:val="22"/>
          <w:szCs w:val="22"/>
        </w:rPr>
      </w:pPr>
    </w:p>
    <w:p w:rsidR="006B3B2F" w:rsidRPr="00C27BE3" w:rsidRDefault="00655210" w:rsidP="00F8173A">
      <w:pPr>
        <w:pStyle w:val="Default"/>
        <w:numPr>
          <w:ilvl w:val="0"/>
          <w:numId w:val="28"/>
        </w:numPr>
        <w:rPr>
          <w:rFonts w:asciiTheme="minorHAnsi" w:hAnsiTheme="minorHAnsi"/>
          <w:sz w:val="22"/>
          <w:szCs w:val="22"/>
        </w:rPr>
      </w:pPr>
      <w:r w:rsidRPr="00655210">
        <w:rPr>
          <w:rFonts w:asciiTheme="minorHAnsi" w:hAnsiTheme="minorHAnsi"/>
          <w:sz w:val="22"/>
          <w:szCs w:val="22"/>
        </w:rPr>
        <w:t>The</w:t>
      </w:r>
      <w:r w:rsidR="006B3B2F" w:rsidRPr="00655210">
        <w:rPr>
          <w:rFonts w:asciiTheme="minorHAnsi" w:hAnsiTheme="minorHAnsi"/>
          <w:sz w:val="22"/>
          <w:szCs w:val="22"/>
        </w:rPr>
        <w:t xml:space="preserve"> </w:t>
      </w:r>
      <w:r w:rsidR="002D35D7">
        <w:rPr>
          <w:rFonts w:asciiTheme="minorHAnsi" w:hAnsiTheme="minorHAnsi"/>
          <w:sz w:val="22"/>
          <w:szCs w:val="22"/>
        </w:rPr>
        <w:t xml:space="preserve">Plan Change 10 </w:t>
      </w:r>
      <w:r w:rsidR="006B3B2F" w:rsidRPr="00655210">
        <w:rPr>
          <w:rFonts w:asciiTheme="minorHAnsi" w:hAnsiTheme="minorHAnsi"/>
          <w:sz w:val="22"/>
          <w:szCs w:val="22"/>
        </w:rPr>
        <w:t>Section 32 report evaluates the scale of impact of new provisions,</w:t>
      </w:r>
      <w:r w:rsidR="00723A4B">
        <w:rPr>
          <w:rFonts w:asciiTheme="minorHAnsi" w:hAnsiTheme="minorHAnsi"/>
          <w:sz w:val="22"/>
          <w:szCs w:val="22"/>
        </w:rPr>
        <w:t xml:space="preserve"> but only in the context of </w:t>
      </w:r>
      <w:r w:rsidR="00723A4B" w:rsidRPr="00655210">
        <w:rPr>
          <w:rFonts w:asciiTheme="minorHAnsi" w:hAnsiTheme="minorHAnsi"/>
          <w:sz w:val="22"/>
          <w:szCs w:val="22"/>
        </w:rPr>
        <w:t>beyond</w:t>
      </w:r>
      <w:r w:rsidR="006B3B2F" w:rsidRPr="00655210">
        <w:rPr>
          <w:rFonts w:asciiTheme="minorHAnsi" w:hAnsiTheme="minorHAnsi"/>
          <w:b/>
          <w:bCs/>
          <w:sz w:val="22"/>
          <w:szCs w:val="22"/>
        </w:rPr>
        <w:t xml:space="preserve"> what is already in effect as a result of Rule 11</w:t>
      </w:r>
      <w:r w:rsidR="006B3B2F" w:rsidRPr="00655210">
        <w:rPr>
          <w:rFonts w:asciiTheme="minorHAnsi" w:hAnsiTheme="minorHAnsi"/>
          <w:sz w:val="22"/>
          <w:szCs w:val="22"/>
        </w:rPr>
        <w:t xml:space="preserve">. </w:t>
      </w:r>
      <w:r>
        <w:rPr>
          <w:rFonts w:asciiTheme="minorHAnsi" w:hAnsiTheme="minorHAnsi"/>
          <w:sz w:val="22"/>
          <w:szCs w:val="22"/>
        </w:rPr>
        <w:t xml:space="preserve"> </w:t>
      </w:r>
      <w:r w:rsidR="009E1AE5">
        <w:rPr>
          <w:rFonts w:asciiTheme="minorHAnsi" w:hAnsiTheme="minorHAnsi"/>
          <w:sz w:val="22"/>
          <w:szCs w:val="22"/>
        </w:rPr>
        <w:t>For forested la</w:t>
      </w:r>
      <w:r w:rsidR="006B3B2F" w:rsidRPr="00655210">
        <w:rPr>
          <w:rFonts w:asciiTheme="minorHAnsi" w:hAnsiTheme="minorHAnsi"/>
          <w:sz w:val="22"/>
          <w:szCs w:val="22"/>
        </w:rPr>
        <w:t>nd</w:t>
      </w:r>
      <w:r w:rsidRPr="00655210">
        <w:rPr>
          <w:rFonts w:asciiTheme="minorHAnsi" w:hAnsiTheme="minorHAnsi"/>
          <w:sz w:val="22"/>
          <w:szCs w:val="22"/>
        </w:rPr>
        <w:t xml:space="preserve"> t</w:t>
      </w:r>
      <w:r w:rsidR="006B3B2F" w:rsidRPr="00655210">
        <w:rPr>
          <w:rFonts w:asciiTheme="minorHAnsi" w:hAnsiTheme="minorHAnsi"/>
          <w:sz w:val="22"/>
          <w:szCs w:val="22"/>
        </w:rPr>
        <w:t xml:space="preserve">he </w:t>
      </w:r>
      <w:r w:rsidR="009E1AE5">
        <w:rPr>
          <w:rFonts w:asciiTheme="minorHAnsi" w:hAnsiTheme="minorHAnsi"/>
          <w:sz w:val="22"/>
          <w:szCs w:val="22"/>
        </w:rPr>
        <w:t xml:space="preserve">effect of </w:t>
      </w:r>
      <w:r w:rsidR="009E1AE5">
        <w:rPr>
          <w:rFonts w:asciiTheme="minorHAnsi" w:hAnsiTheme="minorHAnsi"/>
          <w:sz w:val="22"/>
          <w:szCs w:val="22"/>
        </w:rPr>
        <w:lastRenderedPageBreak/>
        <w:t>the Plan Change 10 N limits considerably reduces what was already a low level of emissions</w:t>
      </w:r>
      <w:r w:rsidR="00C27BE3">
        <w:rPr>
          <w:rFonts w:asciiTheme="minorHAnsi" w:hAnsiTheme="minorHAnsi"/>
          <w:sz w:val="22"/>
          <w:szCs w:val="22"/>
        </w:rPr>
        <w:t>* allowed in Rule 11</w:t>
      </w:r>
      <w:r w:rsidR="009E1AE5">
        <w:rPr>
          <w:rFonts w:asciiTheme="minorHAnsi" w:hAnsiTheme="minorHAnsi"/>
          <w:sz w:val="22"/>
          <w:szCs w:val="22"/>
        </w:rPr>
        <w:t xml:space="preserve">.  </w:t>
      </w:r>
    </w:p>
    <w:p w:rsidR="00CC2183" w:rsidRDefault="00CC2183" w:rsidP="00CC2183">
      <w:pPr>
        <w:pStyle w:val="Default"/>
        <w:ind w:left="501"/>
        <w:rPr>
          <w:sz w:val="13"/>
          <w:szCs w:val="13"/>
        </w:rPr>
      </w:pPr>
    </w:p>
    <w:p w:rsidR="00CA7176" w:rsidRDefault="000D1C50" w:rsidP="00F8173A">
      <w:pPr>
        <w:pStyle w:val="Default"/>
        <w:numPr>
          <w:ilvl w:val="0"/>
          <w:numId w:val="28"/>
        </w:numPr>
        <w:rPr>
          <w:rFonts w:asciiTheme="minorHAnsi" w:hAnsiTheme="minorHAnsi"/>
          <w:sz w:val="22"/>
          <w:szCs w:val="22"/>
        </w:rPr>
      </w:pPr>
      <w:r>
        <w:rPr>
          <w:rFonts w:asciiTheme="minorHAnsi" w:hAnsiTheme="minorHAnsi"/>
          <w:sz w:val="22"/>
          <w:szCs w:val="22"/>
        </w:rPr>
        <w:t>Th</w:t>
      </w:r>
      <w:r w:rsidR="00C27BE3">
        <w:rPr>
          <w:rFonts w:asciiTheme="minorHAnsi" w:hAnsiTheme="minorHAnsi"/>
          <w:sz w:val="22"/>
          <w:szCs w:val="22"/>
        </w:rPr>
        <w:t xml:space="preserve">e </w:t>
      </w:r>
      <w:r>
        <w:rPr>
          <w:rFonts w:asciiTheme="minorHAnsi" w:hAnsiTheme="minorHAnsi"/>
          <w:sz w:val="22"/>
          <w:szCs w:val="22"/>
        </w:rPr>
        <w:t>compromise</w:t>
      </w:r>
      <w:r w:rsidR="00C27BE3">
        <w:rPr>
          <w:rFonts w:asciiTheme="minorHAnsi" w:hAnsiTheme="minorHAnsi"/>
          <w:sz w:val="22"/>
          <w:szCs w:val="22"/>
        </w:rPr>
        <w:t xml:space="preserve">s required to sustain the activity of </w:t>
      </w:r>
      <w:r w:rsidR="00CC6D29">
        <w:rPr>
          <w:rFonts w:asciiTheme="minorHAnsi" w:hAnsiTheme="minorHAnsi"/>
          <w:sz w:val="22"/>
          <w:szCs w:val="22"/>
        </w:rPr>
        <w:t xml:space="preserve">one </w:t>
      </w:r>
      <w:r w:rsidR="00C27BE3">
        <w:rPr>
          <w:rFonts w:asciiTheme="minorHAnsi" w:hAnsiTheme="minorHAnsi"/>
          <w:sz w:val="22"/>
          <w:szCs w:val="22"/>
        </w:rPr>
        <w:t>sector</w:t>
      </w:r>
      <w:r w:rsidR="00CC6D29">
        <w:rPr>
          <w:rFonts w:asciiTheme="minorHAnsi" w:hAnsiTheme="minorHAnsi"/>
          <w:sz w:val="22"/>
          <w:szCs w:val="22"/>
        </w:rPr>
        <w:t xml:space="preserve"> </w:t>
      </w:r>
      <w:r w:rsidR="00142A26">
        <w:rPr>
          <w:rFonts w:asciiTheme="minorHAnsi" w:hAnsiTheme="minorHAnsi"/>
          <w:sz w:val="22"/>
          <w:szCs w:val="22"/>
        </w:rPr>
        <w:t xml:space="preserve">raises </w:t>
      </w:r>
      <w:r>
        <w:rPr>
          <w:rFonts w:asciiTheme="minorHAnsi" w:hAnsiTheme="minorHAnsi"/>
          <w:sz w:val="22"/>
          <w:szCs w:val="22"/>
        </w:rPr>
        <w:t xml:space="preserve">the question of whether those who have been subsidised </w:t>
      </w:r>
      <w:r w:rsidR="00142A26">
        <w:rPr>
          <w:rFonts w:asciiTheme="minorHAnsi" w:hAnsiTheme="minorHAnsi"/>
          <w:sz w:val="22"/>
          <w:szCs w:val="22"/>
        </w:rPr>
        <w:t>produce a product of such value, that this subsidy i</w:t>
      </w:r>
      <w:r>
        <w:rPr>
          <w:rFonts w:asciiTheme="minorHAnsi" w:hAnsiTheme="minorHAnsi"/>
          <w:sz w:val="22"/>
          <w:szCs w:val="22"/>
        </w:rPr>
        <w:t>s worth</w:t>
      </w:r>
      <w:r w:rsidR="00142A26">
        <w:rPr>
          <w:rFonts w:asciiTheme="minorHAnsi" w:hAnsiTheme="minorHAnsi"/>
          <w:sz w:val="22"/>
          <w:szCs w:val="22"/>
        </w:rPr>
        <w:t>while</w:t>
      </w:r>
      <w:r>
        <w:rPr>
          <w:rFonts w:asciiTheme="minorHAnsi" w:hAnsiTheme="minorHAnsi"/>
          <w:sz w:val="22"/>
          <w:szCs w:val="22"/>
        </w:rPr>
        <w:t xml:space="preserve">. </w:t>
      </w:r>
      <w:r w:rsidR="00611249">
        <w:rPr>
          <w:rFonts w:asciiTheme="minorHAnsi" w:hAnsiTheme="minorHAnsi"/>
          <w:sz w:val="22"/>
          <w:szCs w:val="22"/>
        </w:rPr>
        <w:t xml:space="preserve"> </w:t>
      </w:r>
      <w:r w:rsidR="00516D68">
        <w:rPr>
          <w:rFonts w:asciiTheme="minorHAnsi" w:hAnsiTheme="minorHAnsi"/>
          <w:sz w:val="22"/>
          <w:szCs w:val="22"/>
        </w:rPr>
        <w:t>Annex A which c</w:t>
      </w:r>
      <w:r w:rsidR="006D6991">
        <w:rPr>
          <w:rFonts w:asciiTheme="minorHAnsi" w:hAnsiTheme="minorHAnsi"/>
          <w:sz w:val="22"/>
          <w:szCs w:val="22"/>
        </w:rPr>
        <w:t>ompar</w:t>
      </w:r>
      <w:r w:rsidR="00516D68">
        <w:rPr>
          <w:rFonts w:asciiTheme="minorHAnsi" w:hAnsiTheme="minorHAnsi"/>
          <w:sz w:val="22"/>
          <w:szCs w:val="22"/>
        </w:rPr>
        <w:t xml:space="preserve">es the </w:t>
      </w:r>
      <w:r w:rsidR="006D6991">
        <w:rPr>
          <w:rFonts w:asciiTheme="minorHAnsi" w:hAnsiTheme="minorHAnsi"/>
          <w:sz w:val="22"/>
          <w:szCs w:val="22"/>
        </w:rPr>
        <w:t xml:space="preserve">economic and environmental indicators for a representative forest and dairy farm in the Central North Island </w:t>
      </w:r>
      <w:r w:rsidR="00611249">
        <w:rPr>
          <w:rFonts w:asciiTheme="minorHAnsi" w:hAnsiTheme="minorHAnsi"/>
          <w:sz w:val="22"/>
          <w:szCs w:val="22"/>
        </w:rPr>
        <w:t xml:space="preserve">suggests otherwise.  </w:t>
      </w:r>
      <w:r>
        <w:rPr>
          <w:rFonts w:asciiTheme="minorHAnsi" w:hAnsiTheme="minorHAnsi"/>
          <w:sz w:val="22"/>
          <w:szCs w:val="22"/>
        </w:rPr>
        <w:t xml:space="preserve">Is the value of what they produce so great for the economy that </w:t>
      </w:r>
      <w:r w:rsidR="00142A26">
        <w:rPr>
          <w:rFonts w:asciiTheme="minorHAnsi" w:hAnsiTheme="minorHAnsi"/>
          <w:sz w:val="22"/>
          <w:szCs w:val="22"/>
        </w:rPr>
        <w:t xml:space="preserve">someone else should </w:t>
      </w:r>
      <w:r>
        <w:rPr>
          <w:rFonts w:asciiTheme="minorHAnsi" w:hAnsiTheme="minorHAnsi"/>
          <w:sz w:val="22"/>
          <w:szCs w:val="22"/>
        </w:rPr>
        <w:t xml:space="preserve">pay for the externalities of that cost of production?  And is the opportunity cost </w:t>
      </w:r>
      <w:r w:rsidR="00142A26">
        <w:rPr>
          <w:rFonts w:asciiTheme="minorHAnsi" w:hAnsiTheme="minorHAnsi"/>
          <w:sz w:val="22"/>
          <w:szCs w:val="22"/>
        </w:rPr>
        <w:t>caused by</w:t>
      </w:r>
      <w:r>
        <w:rPr>
          <w:rFonts w:asciiTheme="minorHAnsi" w:hAnsiTheme="minorHAnsi"/>
          <w:sz w:val="22"/>
          <w:szCs w:val="22"/>
        </w:rPr>
        <w:t xml:space="preserve"> preventing other people doing other things sufficiently defrayed, that </w:t>
      </w:r>
      <w:r w:rsidR="00142A26">
        <w:rPr>
          <w:rFonts w:asciiTheme="minorHAnsi" w:hAnsiTheme="minorHAnsi"/>
          <w:sz w:val="22"/>
          <w:szCs w:val="22"/>
        </w:rPr>
        <w:t xml:space="preserve">such a </w:t>
      </w:r>
      <w:r>
        <w:rPr>
          <w:rFonts w:asciiTheme="minorHAnsi" w:hAnsiTheme="minorHAnsi"/>
          <w:sz w:val="22"/>
          <w:szCs w:val="22"/>
        </w:rPr>
        <w:t xml:space="preserve">subsidy is worth it?  </w:t>
      </w:r>
      <w:r w:rsidR="005F029F">
        <w:rPr>
          <w:rFonts w:asciiTheme="minorHAnsi" w:hAnsiTheme="minorHAnsi"/>
          <w:sz w:val="22"/>
          <w:szCs w:val="22"/>
        </w:rPr>
        <w:t xml:space="preserve">Timberlands </w:t>
      </w:r>
      <w:r>
        <w:rPr>
          <w:rFonts w:asciiTheme="minorHAnsi" w:hAnsiTheme="minorHAnsi"/>
          <w:sz w:val="22"/>
          <w:szCs w:val="22"/>
        </w:rPr>
        <w:t xml:space="preserve">contention </w:t>
      </w:r>
      <w:r w:rsidR="00CF65D1">
        <w:rPr>
          <w:rFonts w:asciiTheme="minorHAnsi" w:hAnsiTheme="minorHAnsi"/>
          <w:sz w:val="22"/>
          <w:szCs w:val="22"/>
        </w:rPr>
        <w:t xml:space="preserve">is </w:t>
      </w:r>
      <w:r>
        <w:rPr>
          <w:rFonts w:asciiTheme="minorHAnsi" w:hAnsiTheme="minorHAnsi"/>
          <w:sz w:val="22"/>
          <w:szCs w:val="22"/>
        </w:rPr>
        <w:t xml:space="preserve">that </w:t>
      </w:r>
      <w:r w:rsidR="00CF65D1">
        <w:rPr>
          <w:rFonts w:asciiTheme="minorHAnsi" w:hAnsiTheme="minorHAnsi"/>
          <w:sz w:val="22"/>
          <w:szCs w:val="22"/>
        </w:rPr>
        <w:t>this compromise has not been accurately identified or scrutinised</w:t>
      </w:r>
      <w:r w:rsidR="00B7031B">
        <w:rPr>
          <w:rFonts w:asciiTheme="minorHAnsi" w:hAnsiTheme="minorHAnsi"/>
          <w:sz w:val="22"/>
          <w:szCs w:val="22"/>
        </w:rPr>
        <w:t xml:space="preserve"> (refer the discussion on IRR and EBIT at para 31)</w:t>
      </w:r>
      <w:r w:rsidR="00CF65D1">
        <w:rPr>
          <w:rFonts w:asciiTheme="minorHAnsi" w:hAnsiTheme="minorHAnsi"/>
          <w:sz w:val="22"/>
          <w:szCs w:val="22"/>
        </w:rPr>
        <w:t>, and that it is so big as to be untenable.</w:t>
      </w:r>
    </w:p>
    <w:p w:rsidR="006B3B2F" w:rsidRPr="00C27BE3" w:rsidRDefault="006B3B2F" w:rsidP="009723D1">
      <w:pPr>
        <w:pStyle w:val="Default"/>
        <w:ind w:left="501"/>
        <w:rPr>
          <w:rFonts w:asciiTheme="minorHAnsi" w:hAnsiTheme="minorHAnsi"/>
          <w:sz w:val="22"/>
          <w:szCs w:val="22"/>
        </w:rPr>
      </w:pPr>
    </w:p>
    <w:p w:rsidR="006B3B2F" w:rsidRPr="000D1C50" w:rsidRDefault="006B3B2F" w:rsidP="000D1C50">
      <w:pPr>
        <w:rPr>
          <w:b/>
          <w:sz w:val="24"/>
          <w:szCs w:val="24"/>
        </w:rPr>
      </w:pPr>
      <w:r w:rsidRPr="000D1C50">
        <w:rPr>
          <w:b/>
          <w:sz w:val="24"/>
          <w:szCs w:val="24"/>
        </w:rPr>
        <w:t>How does it provide clear signals of adaptive management - how does it identify and manage the risks associated with any future changes (that may or may not arise).</w:t>
      </w:r>
    </w:p>
    <w:p w:rsidR="006B3B2F" w:rsidRDefault="006B3B2F" w:rsidP="00C15ABB">
      <w:pPr>
        <w:ind w:left="142"/>
      </w:pPr>
    </w:p>
    <w:p w:rsidR="002D0830" w:rsidRPr="0034176D" w:rsidRDefault="009723D1" w:rsidP="00F8173A">
      <w:pPr>
        <w:pStyle w:val="Default"/>
        <w:numPr>
          <w:ilvl w:val="0"/>
          <w:numId w:val="28"/>
        </w:numPr>
        <w:rPr>
          <w:rFonts w:asciiTheme="minorHAnsi" w:hAnsiTheme="minorHAnsi"/>
          <w:sz w:val="22"/>
          <w:szCs w:val="22"/>
        </w:rPr>
      </w:pPr>
      <w:r>
        <w:rPr>
          <w:rFonts w:asciiTheme="minorHAnsi" w:hAnsiTheme="minorHAnsi"/>
          <w:sz w:val="22"/>
          <w:szCs w:val="22"/>
        </w:rPr>
        <w:t>A</w:t>
      </w:r>
      <w:r w:rsidRPr="0034176D">
        <w:rPr>
          <w:rFonts w:asciiTheme="minorHAnsi" w:hAnsiTheme="minorHAnsi"/>
          <w:sz w:val="22"/>
          <w:szCs w:val="22"/>
        </w:rPr>
        <w:t xml:space="preserve">llocation is not a suitable policy regime </w:t>
      </w:r>
      <w:r>
        <w:rPr>
          <w:rFonts w:asciiTheme="minorHAnsi" w:hAnsiTheme="minorHAnsi"/>
          <w:sz w:val="22"/>
          <w:szCs w:val="22"/>
        </w:rPr>
        <w:t>i</w:t>
      </w:r>
      <w:r w:rsidR="00142A26" w:rsidRPr="0034176D">
        <w:rPr>
          <w:rFonts w:asciiTheme="minorHAnsi" w:hAnsiTheme="minorHAnsi"/>
          <w:sz w:val="22"/>
          <w:szCs w:val="22"/>
        </w:rPr>
        <w:t>n c</w:t>
      </w:r>
      <w:r>
        <w:rPr>
          <w:rFonts w:asciiTheme="minorHAnsi" w:hAnsiTheme="minorHAnsi"/>
          <w:sz w:val="22"/>
          <w:szCs w:val="22"/>
        </w:rPr>
        <w:t xml:space="preserve">onditions </w:t>
      </w:r>
      <w:r w:rsidR="00D34910" w:rsidRPr="0034176D">
        <w:rPr>
          <w:rFonts w:asciiTheme="minorHAnsi" w:hAnsiTheme="minorHAnsi"/>
          <w:sz w:val="22"/>
          <w:szCs w:val="22"/>
        </w:rPr>
        <w:t xml:space="preserve">where considerable measurement uncertainty </w:t>
      </w:r>
      <w:r w:rsidR="00142A26" w:rsidRPr="0034176D">
        <w:rPr>
          <w:rFonts w:asciiTheme="minorHAnsi" w:hAnsiTheme="minorHAnsi"/>
          <w:sz w:val="22"/>
          <w:szCs w:val="22"/>
        </w:rPr>
        <w:t>for the substance being allocated (N)</w:t>
      </w:r>
      <w:r>
        <w:rPr>
          <w:rFonts w:asciiTheme="minorHAnsi" w:hAnsiTheme="minorHAnsi"/>
          <w:sz w:val="22"/>
          <w:szCs w:val="22"/>
        </w:rPr>
        <w:t xml:space="preserve"> exists</w:t>
      </w:r>
      <w:r w:rsidR="00142A26" w:rsidRPr="0034176D">
        <w:rPr>
          <w:rFonts w:asciiTheme="minorHAnsi" w:hAnsiTheme="minorHAnsi"/>
          <w:sz w:val="22"/>
          <w:szCs w:val="22"/>
        </w:rPr>
        <w:t>.</w:t>
      </w:r>
      <w:r w:rsidR="00D34910" w:rsidRPr="0034176D">
        <w:rPr>
          <w:rFonts w:asciiTheme="minorHAnsi" w:hAnsiTheme="minorHAnsi"/>
          <w:sz w:val="22"/>
          <w:szCs w:val="22"/>
        </w:rPr>
        <w:t xml:space="preserve">  </w:t>
      </w:r>
      <w:r w:rsidR="0034176D" w:rsidRPr="0034176D">
        <w:rPr>
          <w:rFonts w:asciiTheme="minorHAnsi" w:hAnsiTheme="minorHAnsi"/>
          <w:sz w:val="22"/>
          <w:szCs w:val="22"/>
        </w:rPr>
        <w:t>T</w:t>
      </w:r>
      <w:r w:rsidR="00CF65D1" w:rsidRPr="0034176D">
        <w:rPr>
          <w:rFonts w:asciiTheme="minorHAnsi" w:hAnsiTheme="minorHAnsi"/>
          <w:sz w:val="22"/>
          <w:szCs w:val="22"/>
        </w:rPr>
        <w:t xml:space="preserve">he tool used for this </w:t>
      </w:r>
      <w:r>
        <w:rPr>
          <w:rFonts w:asciiTheme="minorHAnsi" w:hAnsiTheme="minorHAnsi"/>
          <w:sz w:val="22"/>
          <w:szCs w:val="22"/>
        </w:rPr>
        <w:t xml:space="preserve">allocating </w:t>
      </w:r>
      <w:r w:rsidR="00CF65D1" w:rsidRPr="0034176D">
        <w:rPr>
          <w:rFonts w:asciiTheme="minorHAnsi" w:hAnsiTheme="minorHAnsi"/>
          <w:sz w:val="22"/>
          <w:szCs w:val="22"/>
        </w:rPr>
        <w:t xml:space="preserve">policy </w:t>
      </w:r>
      <w:r>
        <w:rPr>
          <w:rFonts w:asciiTheme="minorHAnsi" w:hAnsiTheme="minorHAnsi"/>
          <w:sz w:val="22"/>
          <w:szCs w:val="22"/>
        </w:rPr>
        <w:t xml:space="preserve">cannot </w:t>
      </w:r>
      <w:r w:rsidR="00CF65D1" w:rsidRPr="0034176D">
        <w:rPr>
          <w:rFonts w:asciiTheme="minorHAnsi" w:hAnsiTheme="minorHAnsi"/>
          <w:sz w:val="22"/>
          <w:szCs w:val="22"/>
        </w:rPr>
        <w:t>accurately characteris</w:t>
      </w:r>
      <w:r>
        <w:rPr>
          <w:rFonts w:asciiTheme="minorHAnsi" w:hAnsiTheme="minorHAnsi"/>
          <w:sz w:val="22"/>
          <w:szCs w:val="22"/>
        </w:rPr>
        <w:t>e</w:t>
      </w:r>
      <w:r w:rsidR="00CF65D1" w:rsidRPr="0034176D">
        <w:rPr>
          <w:rFonts w:asciiTheme="minorHAnsi" w:hAnsiTheme="minorHAnsi"/>
          <w:sz w:val="22"/>
          <w:szCs w:val="22"/>
        </w:rPr>
        <w:t xml:space="preserve"> N discharge</w:t>
      </w:r>
      <w:r>
        <w:rPr>
          <w:rFonts w:asciiTheme="minorHAnsi" w:hAnsiTheme="minorHAnsi"/>
          <w:sz w:val="22"/>
          <w:szCs w:val="22"/>
        </w:rPr>
        <w:t xml:space="preserve"> and thus </w:t>
      </w:r>
      <w:r w:rsidR="00CF65D1" w:rsidRPr="0034176D">
        <w:rPr>
          <w:rFonts w:asciiTheme="minorHAnsi" w:hAnsiTheme="minorHAnsi"/>
          <w:sz w:val="22"/>
          <w:szCs w:val="22"/>
        </w:rPr>
        <w:t>can</w:t>
      </w:r>
      <w:r w:rsidR="00D34910" w:rsidRPr="0034176D">
        <w:rPr>
          <w:rFonts w:asciiTheme="minorHAnsi" w:hAnsiTheme="minorHAnsi"/>
          <w:sz w:val="22"/>
          <w:szCs w:val="22"/>
        </w:rPr>
        <w:t>not</w:t>
      </w:r>
      <w:r w:rsidR="00CF65D1" w:rsidRPr="0034176D">
        <w:rPr>
          <w:rFonts w:asciiTheme="minorHAnsi" w:hAnsiTheme="minorHAnsi"/>
          <w:sz w:val="22"/>
          <w:szCs w:val="22"/>
        </w:rPr>
        <w:t xml:space="preserve"> be successfully used in an allocation regime</w:t>
      </w:r>
      <w:r w:rsidR="00D34910" w:rsidRPr="0034176D">
        <w:rPr>
          <w:rFonts w:asciiTheme="minorHAnsi" w:hAnsiTheme="minorHAnsi"/>
          <w:sz w:val="22"/>
          <w:szCs w:val="22"/>
        </w:rPr>
        <w:t xml:space="preserve">.  </w:t>
      </w:r>
      <w:r>
        <w:rPr>
          <w:rFonts w:asciiTheme="minorHAnsi" w:hAnsiTheme="minorHAnsi"/>
          <w:sz w:val="22"/>
          <w:szCs w:val="22"/>
        </w:rPr>
        <w:t xml:space="preserve">Attempting to </w:t>
      </w:r>
      <w:r w:rsidR="0034176D" w:rsidRPr="0034176D">
        <w:rPr>
          <w:rFonts w:asciiTheme="minorHAnsi" w:hAnsiTheme="minorHAnsi"/>
          <w:sz w:val="22"/>
          <w:szCs w:val="22"/>
        </w:rPr>
        <w:t>cross-referenc</w:t>
      </w:r>
      <w:r>
        <w:rPr>
          <w:rFonts w:asciiTheme="minorHAnsi" w:hAnsiTheme="minorHAnsi"/>
          <w:sz w:val="22"/>
          <w:szCs w:val="22"/>
        </w:rPr>
        <w:t>e</w:t>
      </w:r>
      <w:r w:rsidR="0034176D" w:rsidRPr="0034176D">
        <w:rPr>
          <w:rFonts w:asciiTheme="minorHAnsi" w:hAnsiTheme="minorHAnsi"/>
          <w:sz w:val="22"/>
          <w:szCs w:val="22"/>
        </w:rPr>
        <w:t xml:space="preserve"> between versions of an unsuitable model does not constitute adequate or appropriate adaptive management. </w:t>
      </w:r>
      <w:r>
        <w:rPr>
          <w:rFonts w:asciiTheme="minorHAnsi" w:hAnsiTheme="minorHAnsi"/>
          <w:sz w:val="22"/>
          <w:szCs w:val="22"/>
        </w:rPr>
        <w:t xml:space="preserve"> </w:t>
      </w:r>
      <w:r w:rsidR="00365B53" w:rsidRPr="0034176D">
        <w:rPr>
          <w:rFonts w:asciiTheme="minorHAnsi" w:hAnsiTheme="minorHAnsi"/>
          <w:sz w:val="22"/>
          <w:szCs w:val="22"/>
        </w:rPr>
        <w:t>The risks posed by chang</w:t>
      </w:r>
      <w:r>
        <w:rPr>
          <w:rFonts w:asciiTheme="minorHAnsi" w:hAnsiTheme="minorHAnsi"/>
          <w:sz w:val="22"/>
          <w:szCs w:val="22"/>
        </w:rPr>
        <w:t>ing</w:t>
      </w:r>
      <w:r w:rsidR="00365B53" w:rsidRPr="0034176D">
        <w:rPr>
          <w:rFonts w:asciiTheme="minorHAnsi" w:hAnsiTheme="minorHAnsi"/>
          <w:sz w:val="22"/>
          <w:szCs w:val="22"/>
        </w:rPr>
        <w:t xml:space="preserve"> the amount of N that must be removed from the lake</w:t>
      </w:r>
      <w:r w:rsidR="00A60BA0" w:rsidRPr="0034176D">
        <w:rPr>
          <w:rFonts w:asciiTheme="minorHAnsi" w:hAnsiTheme="minorHAnsi"/>
          <w:sz w:val="22"/>
          <w:szCs w:val="22"/>
        </w:rPr>
        <w:t>,</w:t>
      </w:r>
      <w:r w:rsidR="00365B53" w:rsidRPr="0034176D">
        <w:rPr>
          <w:rFonts w:asciiTheme="minorHAnsi" w:hAnsiTheme="minorHAnsi"/>
          <w:sz w:val="22"/>
          <w:szCs w:val="22"/>
        </w:rPr>
        <w:t xml:space="preserve"> </w:t>
      </w:r>
      <w:r>
        <w:rPr>
          <w:rFonts w:asciiTheme="minorHAnsi" w:hAnsiTheme="minorHAnsi"/>
          <w:sz w:val="22"/>
          <w:szCs w:val="22"/>
        </w:rPr>
        <w:t xml:space="preserve">or </w:t>
      </w:r>
      <w:r w:rsidR="00365B53" w:rsidRPr="0034176D">
        <w:rPr>
          <w:rFonts w:asciiTheme="minorHAnsi" w:hAnsiTheme="minorHAnsi"/>
          <w:sz w:val="22"/>
          <w:szCs w:val="22"/>
        </w:rPr>
        <w:t>the portion</w:t>
      </w:r>
      <w:r w:rsidR="00A60BA0" w:rsidRPr="0034176D">
        <w:rPr>
          <w:rFonts w:asciiTheme="minorHAnsi" w:hAnsiTheme="minorHAnsi"/>
          <w:sz w:val="22"/>
          <w:szCs w:val="22"/>
        </w:rPr>
        <w:t>ing</w:t>
      </w:r>
      <w:r w:rsidR="00365B53" w:rsidRPr="0034176D">
        <w:rPr>
          <w:rFonts w:asciiTheme="minorHAnsi" w:hAnsiTheme="minorHAnsi"/>
          <w:sz w:val="22"/>
          <w:szCs w:val="22"/>
        </w:rPr>
        <w:t xml:space="preserve"> of N </w:t>
      </w:r>
      <w:r>
        <w:rPr>
          <w:rFonts w:asciiTheme="minorHAnsi" w:hAnsiTheme="minorHAnsi"/>
          <w:sz w:val="22"/>
          <w:szCs w:val="22"/>
        </w:rPr>
        <w:t xml:space="preserve">to </w:t>
      </w:r>
      <w:r w:rsidR="00365B53" w:rsidRPr="0034176D">
        <w:rPr>
          <w:rFonts w:asciiTheme="minorHAnsi" w:hAnsiTheme="minorHAnsi"/>
          <w:sz w:val="22"/>
          <w:szCs w:val="22"/>
        </w:rPr>
        <w:t xml:space="preserve">each land user </w:t>
      </w:r>
      <w:r w:rsidR="00A60BA0" w:rsidRPr="0034176D">
        <w:rPr>
          <w:rFonts w:asciiTheme="minorHAnsi" w:hAnsiTheme="minorHAnsi"/>
          <w:sz w:val="22"/>
          <w:szCs w:val="22"/>
        </w:rPr>
        <w:t>are large and live</w:t>
      </w:r>
      <w:r w:rsidR="00365B53" w:rsidRPr="0034176D">
        <w:rPr>
          <w:rFonts w:asciiTheme="minorHAnsi" w:hAnsiTheme="minorHAnsi"/>
          <w:sz w:val="22"/>
          <w:szCs w:val="22"/>
        </w:rPr>
        <w:t xml:space="preserve">.  Information will change </w:t>
      </w:r>
      <w:r w:rsidR="00832823">
        <w:rPr>
          <w:rFonts w:asciiTheme="minorHAnsi" w:hAnsiTheme="minorHAnsi"/>
          <w:sz w:val="22"/>
          <w:szCs w:val="22"/>
        </w:rPr>
        <w:t xml:space="preserve">due to </w:t>
      </w:r>
      <w:r w:rsidR="00365B53" w:rsidRPr="0034176D">
        <w:rPr>
          <w:rFonts w:asciiTheme="minorHAnsi" w:hAnsiTheme="minorHAnsi"/>
          <w:sz w:val="22"/>
          <w:szCs w:val="22"/>
        </w:rPr>
        <w:t xml:space="preserve">better scientific understanding of the soil and nitrate processes and better modelling tools.  </w:t>
      </w:r>
      <w:r w:rsidR="00832823" w:rsidRPr="0034176D">
        <w:rPr>
          <w:rFonts w:asciiTheme="minorHAnsi" w:hAnsiTheme="minorHAnsi"/>
          <w:sz w:val="22"/>
          <w:szCs w:val="22"/>
        </w:rPr>
        <w:t xml:space="preserve">Allocation and adaptive management </w:t>
      </w:r>
      <w:r w:rsidR="00832823">
        <w:rPr>
          <w:rFonts w:asciiTheme="minorHAnsi" w:hAnsiTheme="minorHAnsi"/>
          <w:sz w:val="22"/>
          <w:szCs w:val="22"/>
        </w:rPr>
        <w:t xml:space="preserve">to account for these changes </w:t>
      </w:r>
      <w:r w:rsidR="00832823" w:rsidRPr="0034176D">
        <w:rPr>
          <w:rFonts w:asciiTheme="minorHAnsi" w:hAnsiTheme="minorHAnsi"/>
          <w:sz w:val="22"/>
          <w:szCs w:val="22"/>
        </w:rPr>
        <w:t xml:space="preserve">are incompatible.  </w:t>
      </w:r>
      <w:r w:rsidR="00A60BA0" w:rsidRPr="0034176D">
        <w:rPr>
          <w:rFonts w:asciiTheme="minorHAnsi" w:hAnsiTheme="minorHAnsi"/>
          <w:sz w:val="22"/>
          <w:szCs w:val="22"/>
        </w:rPr>
        <w:t xml:space="preserve">Allocation of all N </w:t>
      </w:r>
      <w:r w:rsidR="00832823">
        <w:rPr>
          <w:rFonts w:asciiTheme="minorHAnsi" w:hAnsiTheme="minorHAnsi"/>
          <w:sz w:val="22"/>
          <w:szCs w:val="22"/>
        </w:rPr>
        <w:t xml:space="preserve">using </w:t>
      </w:r>
      <w:r w:rsidR="00A60BA0" w:rsidRPr="0034176D">
        <w:rPr>
          <w:rFonts w:asciiTheme="minorHAnsi" w:hAnsiTheme="minorHAnsi"/>
          <w:sz w:val="22"/>
          <w:szCs w:val="22"/>
        </w:rPr>
        <w:t xml:space="preserve">a deeply flawed modelling process </w:t>
      </w:r>
      <w:r w:rsidR="00832823">
        <w:rPr>
          <w:rFonts w:asciiTheme="minorHAnsi" w:hAnsiTheme="minorHAnsi"/>
          <w:sz w:val="22"/>
          <w:szCs w:val="22"/>
        </w:rPr>
        <w:t xml:space="preserve">sets in place </w:t>
      </w:r>
      <w:r w:rsidR="00A60BA0" w:rsidRPr="0034176D">
        <w:rPr>
          <w:rFonts w:asciiTheme="minorHAnsi" w:hAnsiTheme="minorHAnsi"/>
          <w:sz w:val="22"/>
          <w:szCs w:val="22"/>
        </w:rPr>
        <w:t xml:space="preserve">a rigid regime that creates enormously valuable property rights.   </w:t>
      </w:r>
      <w:r w:rsidR="002D0830" w:rsidRPr="0034176D">
        <w:rPr>
          <w:rFonts w:asciiTheme="minorHAnsi" w:hAnsiTheme="minorHAnsi"/>
          <w:sz w:val="22"/>
          <w:szCs w:val="22"/>
        </w:rPr>
        <w:t>The wealth transfer that this process sets in train is one whereby a very small proportion of land use in the catchment acquires a tradeable resource worth millions of dollars, the apportionment of which prevents other land users from exercising their ability to flexibly use their land at all.</w:t>
      </w:r>
    </w:p>
    <w:p w:rsidR="00007325" w:rsidRDefault="00007325" w:rsidP="00007325">
      <w:pPr>
        <w:pStyle w:val="Default"/>
        <w:rPr>
          <w:rFonts w:asciiTheme="minorHAnsi" w:hAnsiTheme="minorHAnsi"/>
          <w:sz w:val="22"/>
          <w:szCs w:val="22"/>
        </w:rPr>
      </w:pPr>
    </w:p>
    <w:p w:rsidR="00007325" w:rsidRDefault="00007325" w:rsidP="00AF032E">
      <w:pPr>
        <w:pStyle w:val="Heading2"/>
        <w:ind w:left="0"/>
      </w:pPr>
      <w:r w:rsidRPr="00007325">
        <w:t xml:space="preserve">Conclusion </w:t>
      </w:r>
    </w:p>
    <w:p w:rsidR="002151B5" w:rsidRDefault="002151B5" w:rsidP="00007325">
      <w:pPr>
        <w:rPr>
          <w:b/>
        </w:rPr>
      </w:pPr>
    </w:p>
    <w:p w:rsidR="004C5221" w:rsidRDefault="0034176D" w:rsidP="00F8173A">
      <w:pPr>
        <w:pStyle w:val="ListParagraph"/>
        <w:numPr>
          <w:ilvl w:val="0"/>
          <w:numId w:val="28"/>
        </w:numPr>
        <w:rPr>
          <w:color w:val="000000" w:themeColor="text1"/>
        </w:rPr>
      </w:pPr>
      <w:r>
        <w:rPr>
          <w:color w:val="000000" w:themeColor="text1"/>
        </w:rPr>
        <w:t xml:space="preserve">Timberlands </w:t>
      </w:r>
      <w:r w:rsidRPr="00F830A3">
        <w:rPr>
          <w:color w:val="000000" w:themeColor="text1"/>
        </w:rPr>
        <w:t>believes</w:t>
      </w:r>
      <w:r w:rsidR="004C5221" w:rsidRPr="00F830A3">
        <w:rPr>
          <w:color w:val="000000" w:themeColor="text1"/>
        </w:rPr>
        <w:t xml:space="preserve"> the process Council used to arrive at a</w:t>
      </w:r>
      <w:r>
        <w:rPr>
          <w:color w:val="000000" w:themeColor="text1"/>
        </w:rPr>
        <w:t xml:space="preserve"> sector averaging </w:t>
      </w:r>
      <w:r w:rsidR="004C5221" w:rsidRPr="00F830A3">
        <w:rPr>
          <w:color w:val="000000" w:themeColor="text1"/>
        </w:rPr>
        <w:t xml:space="preserve">allocation regime demonstrated governance capture and </w:t>
      </w:r>
      <w:r>
        <w:rPr>
          <w:color w:val="000000" w:themeColor="text1"/>
        </w:rPr>
        <w:t xml:space="preserve">should thus be </w:t>
      </w:r>
      <w:r w:rsidR="004C5221" w:rsidRPr="00F830A3">
        <w:rPr>
          <w:color w:val="000000" w:themeColor="text1"/>
        </w:rPr>
        <w:t>void</w:t>
      </w:r>
      <w:r>
        <w:rPr>
          <w:color w:val="000000" w:themeColor="text1"/>
        </w:rPr>
        <w:t xml:space="preserve"> </w:t>
      </w:r>
      <w:r w:rsidR="004C5221" w:rsidRPr="00F830A3">
        <w:rPr>
          <w:color w:val="000000" w:themeColor="text1"/>
        </w:rPr>
        <w:t>for reasons of natural justice, lack of consiste</w:t>
      </w:r>
      <w:r w:rsidR="009723D1">
        <w:rPr>
          <w:color w:val="000000" w:themeColor="text1"/>
        </w:rPr>
        <w:t>ncy with the purpose of the RMA</w:t>
      </w:r>
      <w:r w:rsidR="004C5221" w:rsidRPr="00F830A3">
        <w:rPr>
          <w:color w:val="000000" w:themeColor="text1"/>
        </w:rPr>
        <w:t xml:space="preserve"> </w:t>
      </w:r>
      <w:r w:rsidR="00D411A6" w:rsidRPr="00F830A3">
        <w:rPr>
          <w:color w:val="000000" w:themeColor="text1"/>
        </w:rPr>
        <w:t>and lack of appropriate interpretation of RP</w:t>
      </w:r>
      <w:r w:rsidR="00F830A3">
        <w:rPr>
          <w:color w:val="000000" w:themeColor="text1"/>
        </w:rPr>
        <w:t>S</w:t>
      </w:r>
      <w:r w:rsidR="00D411A6" w:rsidRPr="00F830A3">
        <w:rPr>
          <w:color w:val="000000" w:themeColor="text1"/>
        </w:rPr>
        <w:t xml:space="preserve"> policy WL 5B</w:t>
      </w:r>
      <w:r w:rsidR="004C5221" w:rsidRPr="00F830A3">
        <w:rPr>
          <w:color w:val="000000" w:themeColor="text1"/>
        </w:rPr>
        <w:t xml:space="preserve">. </w:t>
      </w:r>
    </w:p>
    <w:p w:rsidR="00F830A3" w:rsidRPr="00F830A3" w:rsidRDefault="00F830A3" w:rsidP="00F830A3">
      <w:pPr>
        <w:pStyle w:val="ListParagraph"/>
        <w:ind w:left="501"/>
        <w:rPr>
          <w:color w:val="000000" w:themeColor="text1"/>
        </w:rPr>
      </w:pPr>
    </w:p>
    <w:p w:rsidR="00105745" w:rsidRDefault="009723D1" w:rsidP="00F8173A">
      <w:pPr>
        <w:pStyle w:val="ListParagraph"/>
        <w:numPr>
          <w:ilvl w:val="0"/>
          <w:numId w:val="28"/>
        </w:numPr>
        <w:rPr>
          <w:color w:val="000000" w:themeColor="text1"/>
        </w:rPr>
      </w:pPr>
      <w:r>
        <w:rPr>
          <w:color w:val="000000" w:themeColor="text1"/>
        </w:rPr>
        <w:t xml:space="preserve">Timberlands </w:t>
      </w:r>
      <w:r w:rsidRPr="00F830A3">
        <w:rPr>
          <w:color w:val="000000" w:themeColor="text1"/>
        </w:rPr>
        <w:t>believes</w:t>
      </w:r>
      <w:r w:rsidR="00105745" w:rsidRPr="00F830A3">
        <w:rPr>
          <w:color w:val="000000" w:themeColor="text1"/>
        </w:rPr>
        <w:t xml:space="preserve"> that a policy framework</w:t>
      </w:r>
      <w:r w:rsidR="004C5221" w:rsidRPr="00F830A3">
        <w:rPr>
          <w:color w:val="000000" w:themeColor="text1"/>
        </w:rPr>
        <w:t xml:space="preserve"> that </w:t>
      </w:r>
      <w:r w:rsidR="00161EED">
        <w:rPr>
          <w:color w:val="000000" w:themeColor="text1"/>
        </w:rPr>
        <w:t xml:space="preserve">requires </w:t>
      </w:r>
      <w:r w:rsidR="004C5221" w:rsidRPr="00F830A3">
        <w:rPr>
          <w:color w:val="000000" w:themeColor="text1"/>
        </w:rPr>
        <w:t>allocation</w:t>
      </w:r>
      <w:r w:rsidR="00105745" w:rsidRPr="00F830A3">
        <w:rPr>
          <w:color w:val="000000" w:themeColor="text1"/>
        </w:rPr>
        <w:t xml:space="preserve"> </w:t>
      </w:r>
      <w:r>
        <w:rPr>
          <w:color w:val="000000" w:themeColor="text1"/>
        </w:rPr>
        <w:t xml:space="preserve">but </w:t>
      </w:r>
      <w:r w:rsidR="00105745" w:rsidRPr="00F830A3">
        <w:rPr>
          <w:color w:val="000000" w:themeColor="text1"/>
        </w:rPr>
        <w:t xml:space="preserve">lacks the </w:t>
      </w:r>
      <w:r w:rsidR="00F830A3">
        <w:rPr>
          <w:color w:val="000000" w:themeColor="text1"/>
        </w:rPr>
        <w:t xml:space="preserve">allocation </w:t>
      </w:r>
      <w:r w:rsidR="00105745" w:rsidRPr="00F830A3">
        <w:rPr>
          <w:color w:val="000000" w:themeColor="text1"/>
        </w:rPr>
        <w:t xml:space="preserve">tools to make these multi-million dollar allocations in a way that is </w:t>
      </w:r>
      <w:r w:rsidR="002F0772">
        <w:rPr>
          <w:color w:val="000000" w:themeColor="text1"/>
        </w:rPr>
        <w:t xml:space="preserve">fair, </w:t>
      </w:r>
      <w:r w:rsidR="00105745" w:rsidRPr="00F830A3">
        <w:rPr>
          <w:color w:val="000000" w:themeColor="text1"/>
        </w:rPr>
        <w:t>credible or defensible</w:t>
      </w:r>
      <w:r w:rsidR="00161EED">
        <w:rPr>
          <w:color w:val="000000" w:themeColor="text1"/>
        </w:rPr>
        <w:t xml:space="preserve"> is in appropriate </w:t>
      </w:r>
      <w:r w:rsidR="00BC3C38">
        <w:rPr>
          <w:color w:val="000000" w:themeColor="text1"/>
        </w:rPr>
        <w:t>and should be discarded</w:t>
      </w:r>
      <w:r w:rsidR="00105745" w:rsidRPr="00F830A3">
        <w:rPr>
          <w:color w:val="000000" w:themeColor="text1"/>
        </w:rPr>
        <w:t>.</w:t>
      </w:r>
    </w:p>
    <w:p w:rsidR="00F830A3" w:rsidRPr="00F830A3" w:rsidRDefault="00F830A3" w:rsidP="00F830A3">
      <w:pPr>
        <w:pStyle w:val="ListParagraph"/>
        <w:ind w:left="501"/>
        <w:rPr>
          <w:color w:val="000000" w:themeColor="text1"/>
        </w:rPr>
      </w:pPr>
    </w:p>
    <w:p w:rsidR="004C5221" w:rsidRDefault="00D50B07" w:rsidP="00F8173A">
      <w:pPr>
        <w:pStyle w:val="ListParagraph"/>
        <w:numPr>
          <w:ilvl w:val="0"/>
          <w:numId w:val="28"/>
        </w:numPr>
        <w:rPr>
          <w:color w:val="000000" w:themeColor="text1"/>
        </w:rPr>
      </w:pPr>
      <w:r>
        <w:rPr>
          <w:color w:val="000000" w:themeColor="text1"/>
        </w:rPr>
        <w:t xml:space="preserve">Timberlands </w:t>
      </w:r>
      <w:r w:rsidRPr="00F830A3">
        <w:rPr>
          <w:color w:val="000000" w:themeColor="text1"/>
        </w:rPr>
        <w:t>believes</w:t>
      </w:r>
      <w:r w:rsidR="004C5221" w:rsidRPr="00F830A3">
        <w:rPr>
          <w:color w:val="000000" w:themeColor="text1"/>
        </w:rPr>
        <w:t xml:space="preserve"> that the model “Overseer” is being used well beyond its zone of competence and its use should be restricted to </w:t>
      </w:r>
      <w:r w:rsidR="00F830A3">
        <w:rPr>
          <w:color w:val="000000" w:themeColor="text1"/>
        </w:rPr>
        <w:t xml:space="preserve">that </w:t>
      </w:r>
      <w:r w:rsidR="004C5221" w:rsidRPr="00F830A3">
        <w:rPr>
          <w:color w:val="000000" w:themeColor="text1"/>
        </w:rPr>
        <w:t xml:space="preserve">of a </w:t>
      </w:r>
      <w:r w:rsidR="00D411A6" w:rsidRPr="00F830A3">
        <w:rPr>
          <w:color w:val="000000" w:themeColor="text1"/>
        </w:rPr>
        <w:t xml:space="preserve">non-regulatory </w:t>
      </w:r>
      <w:r w:rsidR="004C5221" w:rsidRPr="00F830A3">
        <w:rPr>
          <w:color w:val="000000" w:themeColor="text1"/>
        </w:rPr>
        <w:t>decision support tool.</w:t>
      </w:r>
    </w:p>
    <w:p w:rsidR="00F830A3" w:rsidRPr="00F830A3" w:rsidRDefault="00F830A3" w:rsidP="00F830A3">
      <w:pPr>
        <w:pStyle w:val="ListParagraph"/>
        <w:ind w:left="501"/>
        <w:rPr>
          <w:color w:val="000000" w:themeColor="text1"/>
        </w:rPr>
      </w:pPr>
    </w:p>
    <w:p w:rsidR="00105745" w:rsidRDefault="00D50B07" w:rsidP="00F8173A">
      <w:pPr>
        <w:pStyle w:val="ListParagraph"/>
        <w:numPr>
          <w:ilvl w:val="0"/>
          <w:numId w:val="28"/>
        </w:numPr>
        <w:rPr>
          <w:color w:val="000000" w:themeColor="text1"/>
        </w:rPr>
      </w:pPr>
      <w:r>
        <w:rPr>
          <w:color w:val="000000" w:themeColor="text1"/>
        </w:rPr>
        <w:t xml:space="preserve">Timberlands </w:t>
      </w:r>
      <w:r w:rsidRPr="00F830A3">
        <w:rPr>
          <w:color w:val="000000" w:themeColor="text1"/>
        </w:rPr>
        <w:t>believes</w:t>
      </w:r>
      <w:r w:rsidR="00105745" w:rsidRPr="00F830A3">
        <w:rPr>
          <w:color w:val="000000" w:themeColor="text1"/>
        </w:rPr>
        <w:t xml:space="preserve"> that Council should </w:t>
      </w:r>
      <w:r w:rsidR="00F830A3">
        <w:rPr>
          <w:color w:val="000000" w:themeColor="text1"/>
        </w:rPr>
        <w:t xml:space="preserve">replace the Plan Change 10 </w:t>
      </w:r>
      <w:r w:rsidR="00105745" w:rsidRPr="00F830A3">
        <w:rPr>
          <w:color w:val="000000" w:themeColor="text1"/>
        </w:rPr>
        <w:t xml:space="preserve">policy regime </w:t>
      </w:r>
      <w:r w:rsidR="00F830A3">
        <w:rPr>
          <w:color w:val="000000" w:themeColor="text1"/>
        </w:rPr>
        <w:t xml:space="preserve">with one </w:t>
      </w:r>
      <w:r w:rsidR="00105745" w:rsidRPr="00F830A3">
        <w:rPr>
          <w:color w:val="000000" w:themeColor="text1"/>
        </w:rPr>
        <w:t>that uses polluter pays</w:t>
      </w:r>
      <w:r w:rsidR="00F830A3">
        <w:rPr>
          <w:color w:val="000000" w:themeColor="text1"/>
        </w:rPr>
        <w:t xml:space="preserve"> principles and practices</w:t>
      </w:r>
      <w:r w:rsidR="00105745" w:rsidRPr="00F830A3">
        <w:rPr>
          <w:color w:val="000000" w:themeColor="text1"/>
        </w:rPr>
        <w:t xml:space="preserve">.  </w:t>
      </w:r>
    </w:p>
    <w:p w:rsidR="00F830A3" w:rsidRPr="00F830A3" w:rsidRDefault="00F830A3" w:rsidP="00F830A3">
      <w:pPr>
        <w:pStyle w:val="ListParagraph"/>
        <w:ind w:left="501"/>
        <w:rPr>
          <w:color w:val="000000" w:themeColor="text1"/>
        </w:rPr>
      </w:pPr>
    </w:p>
    <w:p w:rsidR="002151B5" w:rsidRDefault="00105745" w:rsidP="00F8173A">
      <w:pPr>
        <w:pStyle w:val="ListParagraph"/>
        <w:numPr>
          <w:ilvl w:val="0"/>
          <w:numId w:val="28"/>
        </w:numPr>
        <w:rPr>
          <w:color w:val="000000" w:themeColor="text1"/>
        </w:rPr>
      </w:pPr>
      <w:r w:rsidRPr="00F830A3">
        <w:rPr>
          <w:color w:val="000000" w:themeColor="text1"/>
        </w:rPr>
        <w:t xml:space="preserve">Should Council persevere with an allocation regime, </w:t>
      </w:r>
      <w:r w:rsidR="00D50B07">
        <w:rPr>
          <w:color w:val="000000" w:themeColor="text1"/>
        </w:rPr>
        <w:t xml:space="preserve">Timberlands </w:t>
      </w:r>
      <w:r w:rsidR="00D50B07" w:rsidRPr="00F830A3">
        <w:rPr>
          <w:color w:val="000000" w:themeColor="text1"/>
        </w:rPr>
        <w:t>believes</w:t>
      </w:r>
      <w:r w:rsidRPr="00F830A3">
        <w:rPr>
          <w:color w:val="000000" w:themeColor="text1"/>
        </w:rPr>
        <w:t xml:space="preserve"> the only fair way to do so is </w:t>
      </w:r>
      <w:r w:rsidR="004C5221" w:rsidRPr="00F830A3">
        <w:rPr>
          <w:color w:val="000000" w:themeColor="text1"/>
        </w:rPr>
        <w:t xml:space="preserve">to </w:t>
      </w:r>
      <w:r w:rsidR="00F830A3">
        <w:rPr>
          <w:color w:val="000000" w:themeColor="text1"/>
        </w:rPr>
        <w:t xml:space="preserve">revise the regime </w:t>
      </w:r>
      <w:r w:rsidR="00BC3C38">
        <w:rPr>
          <w:color w:val="000000" w:themeColor="text1"/>
        </w:rPr>
        <w:t xml:space="preserve">so it is </w:t>
      </w:r>
      <w:r w:rsidRPr="00F830A3">
        <w:rPr>
          <w:color w:val="000000" w:themeColor="text1"/>
        </w:rPr>
        <w:t>based on natural capital</w:t>
      </w:r>
      <w:r w:rsidR="00BC3C38">
        <w:rPr>
          <w:color w:val="000000" w:themeColor="text1"/>
        </w:rPr>
        <w:t>, using a combination of L</w:t>
      </w:r>
      <w:r w:rsidR="00F830A3">
        <w:rPr>
          <w:color w:val="000000" w:themeColor="text1"/>
        </w:rPr>
        <w:t xml:space="preserve">and Use Capability and soil </w:t>
      </w:r>
      <w:proofErr w:type="gramStart"/>
      <w:r w:rsidR="00F830A3">
        <w:rPr>
          <w:color w:val="000000" w:themeColor="text1"/>
        </w:rPr>
        <w:t>leakiness.</w:t>
      </w:r>
      <w:proofErr w:type="gramEnd"/>
      <w:r w:rsidR="00F830A3">
        <w:rPr>
          <w:color w:val="000000" w:themeColor="text1"/>
        </w:rPr>
        <w:t xml:space="preserve"> Any such regime must also </w:t>
      </w:r>
      <w:r w:rsidR="00A34028" w:rsidRPr="00F830A3">
        <w:rPr>
          <w:color w:val="000000" w:themeColor="text1"/>
        </w:rPr>
        <w:t>zero-base rather than start from Rule 11</w:t>
      </w:r>
      <w:r w:rsidR="002F0772">
        <w:rPr>
          <w:color w:val="000000" w:themeColor="text1"/>
        </w:rPr>
        <w:t xml:space="preserve"> benchmarks</w:t>
      </w:r>
      <w:r w:rsidRPr="00F830A3">
        <w:rPr>
          <w:color w:val="000000" w:themeColor="text1"/>
        </w:rPr>
        <w:t xml:space="preserve">.    </w:t>
      </w:r>
    </w:p>
    <w:p w:rsidR="002F0772" w:rsidRDefault="002F0772" w:rsidP="002F0772">
      <w:pPr>
        <w:ind w:left="141"/>
        <w:rPr>
          <w:color w:val="000000" w:themeColor="text1"/>
        </w:rPr>
      </w:pPr>
    </w:p>
    <w:p w:rsidR="006D6991" w:rsidRDefault="006D6991">
      <w:pPr>
        <w:rPr>
          <w:color w:val="000000" w:themeColor="text1"/>
        </w:rPr>
      </w:pPr>
      <w:r>
        <w:rPr>
          <w:color w:val="000000" w:themeColor="text1"/>
        </w:rPr>
        <w:br w:type="page"/>
      </w:r>
    </w:p>
    <w:p w:rsidR="008E4FF2" w:rsidRDefault="006D6991" w:rsidP="00516D68">
      <w:pPr>
        <w:pStyle w:val="Heading3"/>
      </w:pPr>
      <w:bookmarkStart w:id="9" w:name="_Toc476575943"/>
      <w:r w:rsidRPr="00516D68">
        <w:rPr>
          <w:noProof/>
          <w:lang w:eastAsia="en-NZ"/>
        </w:rPr>
        <w:lastRenderedPageBreak/>
        <w:t xml:space="preserve">Annex A </w:t>
      </w:r>
      <w:r w:rsidR="00516D68" w:rsidRPr="00516D68">
        <w:rPr>
          <w:noProof/>
          <w:lang w:eastAsia="en-NZ"/>
        </w:rPr>
        <w:t>E</w:t>
      </w:r>
      <w:r w:rsidR="00516D68" w:rsidRPr="00516D68">
        <w:t xml:space="preserve">conomic </w:t>
      </w:r>
      <w:r w:rsidR="00516D68">
        <w:t>and environmental indicators for a representative forest and dairy farm in the Central North Island.</w:t>
      </w:r>
      <w:bookmarkEnd w:id="9"/>
    </w:p>
    <w:p w:rsidR="00516D68" w:rsidRDefault="00516D68" w:rsidP="009F734B">
      <w:pPr>
        <w:rPr>
          <w:noProof/>
          <w:color w:val="1F497D"/>
          <w:lang w:eastAsia="en-NZ"/>
        </w:rPr>
      </w:pPr>
    </w:p>
    <w:p w:rsidR="006D6991" w:rsidRPr="00516D68" w:rsidRDefault="00516D68" w:rsidP="009F734B">
      <w:pPr>
        <w:rPr>
          <w:noProof/>
          <w:color w:val="000000" w:themeColor="text1"/>
          <w:lang w:eastAsia="en-NZ"/>
        </w:rPr>
      </w:pPr>
      <w:r w:rsidRPr="00516D68">
        <w:rPr>
          <w:noProof/>
          <w:color w:val="000000" w:themeColor="text1"/>
          <w:lang w:eastAsia="en-NZ"/>
        </w:rPr>
        <w:t>Supplied by W Parker, Scion.</w:t>
      </w:r>
    </w:p>
    <w:p w:rsidR="006D6991" w:rsidRPr="009F734B" w:rsidRDefault="006D6991" w:rsidP="009F734B">
      <w:pPr>
        <w:rPr>
          <w:color w:val="000000" w:themeColor="text1"/>
        </w:rPr>
      </w:pPr>
      <w:r>
        <w:rPr>
          <w:noProof/>
          <w:color w:val="1F497D"/>
          <w:lang w:eastAsia="en-NZ"/>
        </w:rPr>
        <w:drawing>
          <wp:inline distT="0" distB="0" distL="0" distR="0" wp14:anchorId="54B5E7A2" wp14:editId="61840206">
            <wp:extent cx="6188710" cy="6939280"/>
            <wp:effectExtent l="0" t="0" r="2540" b="0"/>
            <wp:docPr id="3" name="Picture 3" descr="cid:image008.png@01D29657.B936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8.png@01D29657.B93624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88710" cy="6939280"/>
                    </a:xfrm>
                    <a:prstGeom prst="rect">
                      <a:avLst/>
                    </a:prstGeom>
                    <a:noFill/>
                    <a:ln>
                      <a:noFill/>
                    </a:ln>
                  </pic:spPr>
                </pic:pic>
              </a:graphicData>
            </a:graphic>
          </wp:inline>
        </w:drawing>
      </w:r>
    </w:p>
    <w:sectPr w:rsidR="006D6991" w:rsidRPr="009F734B" w:rsidSect="00183B8B">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BBD" w:rsidRDefault="00C00BBD" w:rsidP="00907364">
      <w:r>
        <w:separator/>
      </w:r>
    </w:p>
  </w:endnote>
  <w:endnote w:type="continuationSeparator" w:id="0">
    <w:p w:rsidR="00C00BBD" w:rsidRDefault="00C00BBD" w:rsidP="0090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133992"/>
      <w:docPartObj>
        <w:docPartGallery w:val="Page Numbers (Bottom of Page)"/>
        <w:docPartUnique/>
      </w:docPartObj>
    </w:sdtPr>
    <w:sdtEndPr>
      <w:rPr>
        <w:noProof/>
      </w:rPr>
    </w:sdtEndPr>
    <w:sdtContent>
      <w:p w:rsidR="00FC719E" w:rsidRDefault="00FC719E">
        <w:pPr>
          <w:pStyle w:val="Footer"/>
          <w:jc w:val="right"/>
        </w:pPr>
        <w:r>
          <w:fldChar w:fldCharType="begin"/>
        </w:r>
        <w:r>
          <w:instrText xml:space="preserve"> PAGE   \* MERGEFORMAT </w:instrText>
        </w:r>
        <w:r>
          <w:fldChar w:fldCharType="separate"/>
        </w:r>
        <w:r w:rsidR="00A04F0B">
          <w:rPr>
            <w:noProof/>
          </w:rPr>
          <w:t>14</w:t>
        </w:r>
        <w:r>
          <w:rPr>
            <w:noProof/>
          </w:rPr>
          <w:fldChar w:fldCharType="end"/>
        </w:r>
      </w:p>
    </w:sdtContent>
  </w:sdt>
  <w:p w:rsidR="00FC719E" w:rsidRDefault="00FC7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BBD" w:rsidRDefault="00C00BBD" w:rsidP="00907364">
      <w:r>
        <w:separator/>
      </w:r>
    </w:p>
  </w:footnote>
  <w:footnote w:type="continuationSeparator" w:id="0">
    <w:p w:rsidR="00C00BBD" w:rsidRDefault="00C00BBD" w:rsidP="00907364">
      <w:r>
        <w:continuationSeparator/>
      </w:r>
    </w:p>
  </w:footnote>
  <w:footnote w:id="1">
    <w:p w:rsidR="00FC719E" w:rsidRPr="00A576CF" w:rsidRDefault="00FC719E" w:rsidP="00412ED0">
      <w:pPr>
        <w:pStyle w:val="FootnoteText"/>
        <w:rPr>
          <w:lang w:val="en-NZ"/>
        </w:rPr>
      </w:pPr>
      <w:r>
        <w:rPr>
          <w:rStyle w:val="FootnoteReference"/>
        </w:rPr>
        <w:footnoteRef/>
      </w:r>
      <w:r>
        <w:t xml:space="preserve"> April 2013 </w:t>
      </w:r>
      <w:proofErr w:type="spellStart"/>
      <w:r>
        <w:t>StAG</w:t>
      </w:r>
      <w:proofErr w:type="spellEnd"/>
      <w:r>
        <w:t xml:space="preserve"> meeting - Scion advised that more sophisticated forestry options should be considered, including different species, silviculture regimes and financing structures.</w:t>
      </w:r>
    </w:p>
  </w:footnote>
  <w:footnote w:id="2">
    <w:p w:rsidR="00FC719E" w:rsidRPr="009454E6" w:rsidRDefault="00FC719E" w:rsidP="00D44C4C">
      <w:pPr>
        <w:pStyle w:val="FootnoteText"/>
        <w:rPr>
          <w:lang w:val="en-NZ"/>
        </w:rPr>
      </w:pPr>
      <w:r>
        <w:rPr>
          <w:rStyle w:val="FootnoteReference"/>
        </w:rPr>
        <w:footnoteRef/>
      </w:r>
      <w:r>
        <w:t xml:space="preserve"> Section 32 report </w:t>
      </w:r>
      <w:r>
        <w:rPr>
          <w:lang w:val="en-NZ"/>
        </w:rPr>
        <w:t>Page 119</w:t>
      </w:r>
    </w:p>
  </w:footnote>
  <w:footnote w:id="3">
    <w:p w:rsidR="00FC719E" w:rsidRPr="001A40DA" w:rsidRDefault="00FC719E">
      <w:pPr>
        <w:pStyle w:val="FootnoteText"/>
        <w:rPr>
          <w:lang w:val="en-NZ"/>
        </w:rPr>
      </w:pPr>
      <w:r>
        <w:rPr>
          <w:rStyle w:val="FootnoteReference"/>
        </w:rPr>
        <w:footnoteRef/>
      </w:r>
      <w:r>
        <w:t xml:space="preserve"> </w:t>
      </w:r>
      <w:r>
        <w:rPr>
          <w:lang w:val="en-NZ"/>
        </w:rPr>
        <w:t xml:space="preserve">Although there was 15 voting members of </w:t>
      </w:r>
      <w:proofErr w:type="spellStart"/>
      <w:r>
        <w:rPr>
          <w:lang w:val="en-NZ"/>
        </w:rPr>
        <w:t>StAG</w:t>
      </w:r>
      <w:proofErr w:type="spellEnd"/>
      <w:r>
        <w:rPr>
          <w:lang w:val="en-NZ"/>
        </w:rPr>
        <w:t xml:space="preserve">, there were a large number of farming industry representatives at the </w:t>
      </w:r>
      <w:proofErr w:type="spellStart"/>
      <w:r>
        <w:rPr>
          <w:lang w:val="en-NZ"/>
        </w:rPr>
        <w:t>StAG</w:t>
      </w:r>
      <w:proofErr w:type="spellEnd"/>
      <w:r>
        <w:rPr>
          <w:lang w:val="en-NZ"/>
        </w:rPr>
        <w:t xml:space="preserve"> meetings, fully participating in all discussions. Their only constraint was that they could not vote.</w:t>
      </w:r>
    </w:p>
  </w:footnote>
  <w:footnote w:id="4">
    <w:p w:rsidR="00FC719E" w:rsidRPr="00301E8F" w:rsidRDefault="00FC719E" w:rsidP="002E7441">
      <w:pPr>
        <w:pStyle w:val="Default"/>
        <w:rPr>
          <w:rFonts w:ascii="Times New Roman" w:hAnsi="Times New Roman" w:cs="Times New Roman"/>
        </w:rPr>
      </w:pPr>
      <w:r>
        <w:rPr>
          <w:rStyle w:val="FootnoteReference"/>
        </w:rPr>
        <w:footnoteRef/>
      </w:r>
      <w:r w:rsidRPr="00301E8F">
        <w:rPr>
          <w:rFonts w:asciiTheme="minorHAnsi" w:hAnsiTheme="minorHAnsi"/>
          <w:sz w:val="20"/>
          <w:szCs w:val="20"/>
        </w:rPr>
        <w:t xml:space="preserve"> On-Farm effects of diverse allocation mechanisms in the Lake Rotorua catchment</w:t>
      </w:r>
      <w:r>
        <w:rPr>
          <w:rFonts w:asciiTheme="minorHAnsi" w:hAnsiTheme="minorHAnsi"/>
          <w:sz w:val="20"/>
          <w:szCs w:val="20"/>
        </w:rPr>
        <w:t xml:space="preserve"> Aug 2015 Parsons, </w:t>
      </w:r>
      <w:proofErr w:type="spellStart"/>
      <w:r>
        <w:rPr>
          <w:rFonts w:asciiTheme="minorHAnsi" w:hAnsiTheme="minorHAnsi"/>
          <w:sz w:val="20"/>
          <w:szCs w:val="20"/>
        </w:rPr>
        <w:t>Doole</w:t>
      </w:r>
      <w:proofErr w:type="spellEnd"/>
      <w:r>
        <w:rPr>
          <w:rFonts w:asciiTheme="minorHAnsi" w:hAnsiTheme="minorHAnsi"/>
          <w:sz w:val="20"/>
          <w:szCs w:val="20"/>
        </w:rPr>
        <w:t xml:space="preserve">, </w:t>
      </w:r>
      <w:proofErr w:type="spellStart"/>
      <w:r>
        <w:rPr>
          <w:rFonts w:asciiTheme="minorHAnsi" w:hAnsiTheme="minorHAnsi"/>
          <w:sz w:val="20"/>
          <w:szCs w:val="20"/>
        </w:rPr>
        <w:t>Romera</w:t>
      </w:r>
      <w:proofErr w:type="spellEnd"/>
    </w:p>
  </w:footnote>
  <w:footnote w:id="5">
    <w:p w:rsidR="00FC719E" w:rsidRPr="00991ECB" w:rsidRDefault="00FC719E" w:rsidP="00CE38D2">
      <w:pPr>
        <w:pStyle w:val="FootnoteText"/>
        <w:rPr>
          <w:lang w:val="en-NZ"/>
        </w:rPr>
      </w:pPr>
      <w:r>
        <w:rPr>
          <w:rStyle w:val="FootnoteReference"/>
        </w:rPr>
        <w:footnoteRef/>
      </w:r>
      <w:r>
        <w:t xml:space="preserve"> </w:t>
      </w:r>
      <w:r w:rsidRPr="00991ECB">
        <w:rPr>
          <w:rFonts w:asciiTheme="minorHAnsi" w:hAnsiTheme="minorHAnsi"/>
          <w:sz w:val="20"/>
        </w:rPr>
        <w:t>section 3.15.8 of the section 32 report on Rule 11</w:t>
      </w:r>
      <w:r>
        <w:rPr>
          <w:rFonts w:asciiTheme="minorHAnsi" w:hAnsiTheme="minorHAnsi"/>
          <w:sz w:val="20"/>
        </w:rPr>
        <w:t>, also at Annex A</w:t>
      </w:r>
    </w:p>
  </w:footnote>
  <w:footnote w:id="6">
    <w:p w:rsidR="00FC719E" w:rsidRPr="00260CAD" w:rsidRDefault="00FC719E" w:rsidP="00350359">
      <w:pPr>
        <w:pStyle w:val="FootnoteText"/>
        <w:rPr>
          <w:lang w:val="en-NZ"/>
        </w:rPr>
      </w:pPr>
      <w:r>
        <w:rPr>
          <w:rStyle w:val="FootnoteReference"/>
        </w:rPr>
        <w:footnoteRef/>
      </w:r>
      <w:r>
        <w:t xml:space="preserve"> </w:t>
      </w:r>
      <w:hyperlink r:id="rId1" w:history="1">
        <w:r w:rsidRPr="00F77663">
          <w:rPr>
            <w:rStyle w:val="Hyperlink"/>
          </w:rPr>
          <w:t>http://www.rotorualakes.co.nz/vdb/document/162</w:t>
        </w:r>
      </w:hyperlink>
      <w:r>
        <w:t xml:space="preserve"> </w:t>
      </w:r>
    </w:p>
  </w:footnote>
  <w:footnote w:id="7">
    <w:p w:rsidR="00FC719E" w:rsidRPr="00597A93" w:rsidRDefault="00FC719E">
      <w:pPr>
        <w:pStyle w:val="FootnoteText"/>
        <w:rPr>
          <w:rFonts w:asciiTheme="minorHAnsi" w:hAnsiTheme="minorHAnsi"/>
          <w:lang w:val="en-NZ"/>
        </w:rPr>
      </w:pPr>
      <w:r w:rsidRPr="00597A93">
        <w:rPr>
          <w:rStyle w:val="FootnoteReference"/>
          <w:rFonts w:asciiTheme="minorHAnsi" w:hAnsiTheme="minorHAnsi"/>
        </w:rPr>
        <w:footnoteRef/>
      </w:r>
      <w:r w:rsidRPr="00597A93">
        <w:rPr>
          <w:rFonts w:asciiTheme="minorHAnsi" w:hAnsiTheme="minorHAnsi"/>
        </w:rPr>
        <w:t xml:space="preserve"> </w:t>
      </w:r>
      <w:r w:rsidRPr="00597A93">
        <w:rPr>
          <w:rFonts w:asciiTheme="minorHAnsi" w:hAnsiTheme="minorHAnsi"/>
          <w:sz w:val="20"/>
        </w:rPr>
        <w:t xml:space="preserve">the lower NDA range boundary for dairy/upper range boundary for </w:t>
      </w:r>
      <w:proofErr w:type="spellStart"/>
      <w:r w:rsidRPr="00597A93">
        <w:rPr>
          <w:rFonts w:asciiTheme="minorHAnsi" w:hAnsiTheme="minorHAnsi"/>
          <w:sz w:val="20"/>
        </w:rPr>
        <w:t>drystock</w:t>
      </w:r>
      <w:proofErr w:type="spellEnd"/>
    </w:p>
  </w:footnote>
  <w:footnote w:id="8">
    <w:p w:rsidR="00FC719E" w:rsidRPr="00787CBE" w:rsidRDefault="00FC719E">
      <w:pPr>
        <w:pStyle w:val="FootnoteText"/>
        <w:rPr>
          <w:lang w:val="en-NZ"/>
        </w:rPr>
      </w:pPr>
      <w:r>
        <w:rPr>
          <w:rStyle w:val="FootnoteReference"/>
        </w:rPr>
        <w:footnoteRef/>
      </w:r>
      <w:r>
        <w:t xml:space="preserve"> </w:t>
      </w:r>
      <w:r w:rsidRPr="00787CBE">
        <w:rPr>
          <w:rFonts w:asciiTheme="minorHAnsi" w:hAnsiTheme="minorHAnsi"/>
          <w:sz w:val="20"/>
        </w:rPr>
        <w:t>Federated Farmers and Dairy NZ</w:t>
      </w:r>
    </w:p>
  </w:footnote>
  <w:footnote w:id="9">
    <w:p w:rsidR="00FC719E" w:rsidRPr="003D2BC8" w:rsidRDefault="00FC719E">
      <w:pPr>
        <w:pStyle w:val="FootnoteText"/>
        <w:rPr>
          <w:lang w:val="en-NZ"/>
        </w:rPr>
      </w:pPr>
      <w:r>
        <w:rPr>
          <w:rStyle w:val="FootnoteReference"/>
        </w:rPr>
        <w:footnoteRef/>
      </w:r>
      <w:r>
        <w:t xml:space="preserve"> </w:t>
      </w:r>
      <w:hyperlink r:id="rId2" w:history="1">
        <w:r w:rsidRPr="00F77663">
          <w:rPr>
            <w:rStyle w:val="Hyperlink"/>
          </w:rPr>
          <w:t>http://www.rotorualakes.co.nz/vdb/document/694</w:t>
        </w:r>
      </w:hyperlink>
      <w:r>
        <w:t xml:space="preserve"> </w:t>
      </w:r>
    </w:p>
  </w:footnote>
  <w:footnote w:id="10">
    <w:p w:rsidR="00FC719E" w:rsidRPr="00F13BB8" w:rsidRDefault="00FC719E" w:rsidP="00337CD5">
      <w:pPr>
        <w:pStyle w:val="FootnoteText"/>
        <w:rPr>
          <w:lang w:val="en-NZ"/>
        </w:rPr>
      </w:pPr>
      <w:r>
        <w:rPr>
          <w:rStyle w:val="FootnoteReference"/>
        </w:rPr>
        <w:footnoteRef/>
      </w:r>
      <w:r>
        <w:t xml:space="preserve"> </w:t>
      </w:r>
      <w:hyperlink r:id="rId3" w:history="1">
        <w:r w:rsidRPr="00F77663">
          <w:rPr>
            <w:rStyle w:val="Hyperlink"/>
          </w:rPr>
          <w:t>http://www.crc.govt.nz/publications/Consent%20Notifications/HearingEvidenceWalterCClark.pdf</w:t>
        </w:r>
      </w:hyperlink>
      <w:r>
        <w:t xml:space="preserve"> para 41 to 42</w:t>
      </w:r>
    </w:p>
  </w:footnote>
  <w:footnote w:id="11">
    <w:p w:rsidR="00FC719E" w:rsidRPr="0002558C" w:rsidRDefault="00FC719E" w:rsidP="006B3B2F">
      <w:pPr>
        <w:pStyle w:val="FootnoteText"/>
        <w:rPr>
          <w:lang w:val="en-NZ"/>
        </w:rPr>
      </w:pPr>
      <w:r>
        <w:rPr>
          <w:rStyle w:val="FootnoteReference"/>
        </w:rPr>
        <w:footnoteRef/>
      </w:r>
      <w:r>
        <w:t xml:space="preserve"> </w:t>
      </w:r>
      <w:hyperlink r:id="rId4" w:history="1">
        <w:r w:rsidRPr="0044017C">
          <w:rPr>
            <w:rStyle w:val="Hyperlink"/>
          </w:rPr>
          <w:t>https://en.wikipedia.org/wiki/Steering_tax</w:t>
        </w:r>
      </w:hyperlink>
      <w:r>
        <w:t xml:space="preserve"> </w:t>
      </w:r>
    </w:p>
  </w:footnote>
  <w:footnote w:id="12">
    <w:p w:rsidR="00FC719E" w:rsidRPr="00A04231" w:rsidRDefault="00FC719E">
      <w:pPr>
        <w:pStyle w:val="FootnoteText"/>
        <w:rPr>
          <w:lang w:val="en-NZ"/>
        </w:rPr>
      </w:pPr>
      <w:r>
        <w:rPr>
          <w:rStyle w:val="FootnoteReference"/>
        </w:rPr>
        <w:footnoteRef/>
      </w:r>
      <w:r>
        <w:t xml:space="preserve"> </w:t>
      </w:r>
      <w:r w:rsidRPr="00FC6E42">
        <w:rPr>
          <w:rFonts w:asciiTheme="minorHAnsi" w:hAnsiTheme="minorHAnsi"/>
          <w:color w:val="000000"/>
          <w:sz w:val="22"/>
          <w:szCs w:val="22"/>
        </w:rPr>
        <w:t>District mode</w:t>
      </w:r>
      <w:r>
        <w:rPr>
          <w:rFonts w:asciiTheme="minorHAnsi" w:hAnsiTheme="minorHAnsi"/>
          <w:color w:val="000000"/>
          <w:sz w:val="22"/>
          <w:szCs w:val="22"/>
        </w:rPr>
        <w:t>lling done by Market Economics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9E" w:rsidRDefault="00FC719E">
    <w:pPr>
      <w:pStyle w:val="Header"/>
    </w:pPr>
    <w:r>
      <w:rPr>
        <w:rFonts w:ascii="Corbel" w:hAnsi="Corbel"/>
        <w:sz w:val="18"/>
        <w:szCs w:val="18"/>
      </w:rPr>
      <w:t>H</w:t>
    </w:r>
    <w:r w:rsidRPr="00DA78A6">
      <w:rPr>
        <w:rFonts w:ascii="Corbel" w:hAnsi="Corbel"/>
        <w:sz w:val="18"/>
        <w:szCs w:val="18"/>
      </w:rPr>
      <w:t xml:space="preserve">earing evidence </w:t>
    </w:r>
    <w:r>
      <w:rPr>
        <w:rFonts w:ascii="Corbel" w:hAnsi="Corbel"/>
        <w:sz w:val="18"/>
        <w:szCs w:val="18"/>
      </w:rPr>
      <w:t xml:space="preserve">- </w:t>
    </w:r>
    <w:r w:rsidR="00A04F0B">
      <w:rPr>
        <w:rFonts w:ascii="Corbel" w:hAnsi="Corbel"/>
        <w:sz w:val="18"/>
        <w:szCs w:val="18"/>
      </w:rPr>
      <w:t>Timberlands</w:t>
    </w:r>
    <w:r w:rsidRPr="00DA78A6">
      <w:rPr>
        <w:rFonts w:ascii="Corbel" w:hAnsi="Corbel"/>
        <w:sz w:val="18"/>
        <w:szCs w:val="18"/>
      </w:rPr>
      <w:t xml:space="preserve"> </w:t>
    </w:r>
    <w:r>
      <w:rPr>
        <w:rFonts w:ascii="Corbel" w:hAnsi="Corbel"/>
        <w:sz w:val="18"/>
        <w:szCs w:val="18"/>
      </w:rPr>
      <w:t xml:space="preserve">- </w:t>
    </w:r>
    <w:r w:rsidRPr="00DA78A6">
      <w:rPr>
        <w:rFonts w:ascii="Corbel" w:hAnsi="Corbel"/>
        <w:sz w:val="18"/>
        <w:szCs w:val="18"/>
      </w:rPr>
      <w:t xml:space="preserve">Lake Rotorua </w:t>
    </w:r>
    <w:r w:rsidR="00A04F0B">
      <w:rPr>
        <w:rFonts w:ascii="Corbel" w:hAnsi="Corbel"/>
        <w:sz w:val="18"/>
        <w:szCs w:val="18"/>
      </w:rPr>
      <w:t>6</w:t>
    </w:r>
    <w:r>
      <w:rPr>
        <w:rFonts w:ascii="Corbel" w:hAnsi="Corbel"/>
        <w:sz w:val="18"/>
        <w:szCs w:val="18"/>
      </w:rPr>
      <w:t xml:space="preserve"> March</w:t>
    </w:r>
    <w:r w:rsidRPr="00DA78A6">
      <w:rPr>
        <w:rFonts w:ascii="Corbel" w:hAnsi="Corbel"/>
        <w:sz w:val="18"/>
        <w:szCs w:val="18"/>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4365"/>
    <w:multiLevelType w:val="hybridMultilevel"/>
    <w:tmpl w:val="6E7286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3A66B2"/>
    <w:multiLevelType w:val="hybridMultilevel"/>
    <w:tmpl w:val="21A057DE"/>
    <w:lvl w:ilvl="0" w:tplc="215C1A9C">
      <w:start w:val="1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6296475"/>
    <w:multiLevelType w:val="hybridMultilevel"/>
    <w:tmpl w:val="10E4660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1C547150"/>
    <w:multiLevelType w:val="hybridMultilevel"/>
    <w:tmpl w:val="98E29DAE"/>
    <w:lvl w:ilvl="0" w:tplc="4FD65394">
      <w:start w:val="1"/>
      <w:numFmt w:val="decimal"/>
      <w:lvlText w:val="%1."/>
      <w:lvlJc w:val="left"/>
      <w:pPr>
        <w:ind w:left="720" w:hanging="360"/>
      </w:pPr>
      <w:rPr>
        <w:rFonts w:hint="default"/>
      </w:rPr>
    </w:lvl>
    <w:lvl w:ilvl="1" w:tplc="14090019">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ED03831"/>
    <w:multiLevelType w:val="hybridMultilevel"/>
    <w:tmpl w:val="D6586AA4"/>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01">
      <w:start w:val="1"/>
      <w:numFmt w:val="bullet"/>
      <w:lvlText w:val=""/>
      <w:lvlJc w:val="left"/>
      <w:pPr>
        <w:ind w:left="2340" w:hanging="360"/>
      </w:pPr>
      <w:rPr>
        <w:rFonts w:ascii="Symbol" w:hAnsi="Symbo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27929F0"/>
    <w:multiLevelType w:val="hybridMultilevel"/>
    <w:tmpl w:val="12D614B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279B11A4"/>
    <w:multiLevelType w:val="hybridMultilevel"/>
    <w:tmpl w:val="6BB095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F406557"/>
    <w:multiLevelType w:val="hybridMultilevel"/>
    <w:tmpl w:val="36ACBC48"/>
    <w:lvl w:ilvl="0" w:tplc="1409000F">
      <w:start w:val="1"/>
      <w:numFmt w:val="decimal"/>
      <w:lvlText w:val="%1."/>
      <w:lvlJc w:val="left"/>
      <w:pPr>
        <w:ind w:left="501"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8" w15:restartNumberingAfterBreak="0">
    <w:nsid w:val="328F4C58"/>
    <w:multiLevelType w:val="hybridMultilevel"/>
    <w:tmpl w:val="343AFF72"/>
    <w:lvl w:ilvl="0" w:tplc="1409000F">
      <w:start w:val="1"/>
      <w:numFmt w:val="decimal"/>
      <w:lvlText w:val="%1."/>
      <w:lvlJc w:val="left"/>
      <w:pPr>
        <w:ind w:left="1002" w:hanging="360"/>
      </w:pPr>
    </w:lvl>
    <w:lvl w:ilvl="1" w:tplc="14090019" w:tentative="1">
      <w:start w:val="1"/>
      <w:numFmt w:val="lowerLetter"/>
      <w:lvlText w:val="%2."/>
      <w:lvlJc w:val="left"/>
      <w:pPr>
        <w:ind w:left="1941" w:hanging="360"/>
      </w:pPr>
    </w:lvl>
    <w:lvl w:ilvl="2" w:tplc="1409001B" w:tentative="1">
      <w:start w:val="1"/>
      <w:numFmt w:val="lowerRoman"/>
      <w:lvlText w:val="%3."/>
      <w:lvlJc w:val="right"/>
      <w:pPr>
        <w:ind w:left="2661" w:hanging="180"/>
      </w:pPr>
    </w:lvl>
    <w:lvl w:ilvl="3" w:tplc="1409000F" w:tentative="1">
      <w:start w:val="1"/>
      <w:numFmt w:val="decimal"/>
      <w:lvlText w:val="%4."/>
      <w:lvlJc w:val="left"/>
      <w:pPr>
        <w:ind w:left="3381" w:hanging="360"/>
      </w:pPr>
    </w:lvl>
    <w:lvl w:ilvl="4" w:tplc="14090019" w:tentative="1">
      <w:start w:val="1"/>
      <w:numFmt w:val="lowerLetter"/>
      <w:lvlText w:val="%5."/>
      <w:lvlJc w:val="left"/>
      <w:pPr>
        <w:ind w:left="4101" w:hanging="360"/>
      </w:pPr>
    </w:lvl>
    <w:lvl w:ilvl="5" w:tplc="1409001B" w:tentative="1">
      <w:start w:val="1"/>
      <w:numFmt w:val="lowerRoman"/>
      <w:lvlText w:val="%6."/>
      <w:lvlJc w:val="right"/>
      <w:pPr>
        <w:ind w:left="4821" w:hanging="180"/>
      </w:pPr>
    </w:lvl>
    <w:lvl w:ilvl="6" w:tplc="1409000F" w:tentative="1">
      <w:start w:val="1"/>
      <w:numFmt w:val="decimal"/>
      <w:lvlText w:val="%7."/>
      <w:lvlJc w:val="left"/>
      <w:pPr>
        <w:ind w:left="5541" w:hanging="360"/>
      </w:pPr>
    </w:lvl>
    <w:lvl w:ilvl="7" w:tplc="14090019" w:tentative="1">
      <w:start w:val="1"/>
      <w:numFmt w:val="lowerLetter"/>
      <w:lvlText w:val="%8."/>
      <w:lvlJc w:val="left"/>
      <w:pPr>
        <w:ind w:left="6261" w:hanging="360"/>
      </w:pPr>
    </w:lvl>
    <w:lvl w:ilvl="8" w:tplc="1409001B" w:tentative="1">
      <w:start w:val="1"/>
      <w:numFmt w:val="lowerRoman"/>
      <w:lvlText w:val="%9."/>
      <w:lvlJc w:val="right"/>
      <w:pPr>
        <w:ind w:left="6981" w:hanging="180"/>
      </w:pPr>
    </w:lvl>
  </w:abstractNum>
  <w:abstractNum w:abstractNumId="9" w15:restartNumberingAfterBreak="0">
    <w:nsid w:val="32CA1FA1"/>
    <w:multiLevelType w:val="hybridMultilevel"/>
    <w:tmpl w:val="28D85FE6"/>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15:restartNumberingAfterBreak="0">
    <w:nsid w:val="39826105"/>
    <w:multiLevelType w:val="hybridMultilevel"/>
    <w:tmpl w:val="79F4E62E"/>
    <w:lvl w:ilvl="0" w:tplc="1409000F">
      <w:start w:val="1"/>
      <w:numFmt w:val="decimal"/>
      <w:lvlText w:val="%1."/>
      <w:lvlJc w:val="left"/>
      <w:pPr>
        <w:ind w:left="501"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FFC6A68"/>
    <w:multiLevelType w:val="hybridMultilevel"/>
    <w:tmpl w:val="DA4043CA"/>
    <w:lvl w:ilvl="0" w:tplc="9B98A3CC">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46A43D72"/>
    <w:multiLevelType w:val="hybridMultilevel"/>
    <w:tmpl w:val="C5281722"/>
    <w:lvl w:ilvl="0" w:tplc="6A081ECA">
      <w:start w:val="5"/>
      <w:numFmt w:val="decimal"/>
      <w:lvlText w:val="%1."/>
      <w:lvlJc w:val="left"/>
      <w:pPr>
        <w:ind w:left="786" w:hanging="360"/>
      </w:pPr>
      <w:rPr>
        <w:rFonts w:hint="default"/>
      </w:rPr>
    </w:lvl>
    <w:lvl w:ilvl="1" w:tplc="14090019">
      <w:start w:val="1"/>
      <w:numFmt w:val="lowerLetter"/>
      <w:lvlText w:val="%2."/>
      <w:lvlJc w:val="left"/>
      <w:pPr>
        <w:ind w:left="1440" w:hanging="360"/>
      </w:pPr>
    </w:lvl>
    <w:lvl w:ilvl="2" w:tplc="B5306CDE">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9EF2D36"/>
    <w:multiLevelType w:val="hybridMultilevel"/>
    <w:tmpl w:val="57363B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BE67F52"/>
    <w:multiLevelType w:val="hybridMultilevel"/>
    <w:tmpl w:val="6352BC8C"/>
    <w:lvl w:ilvl="0" w:tplc="14090001">
      <w:start w:val="1"/>
      <w:numFmt w:val="bullet"/>
      <w:lvlText w:val=""/>
      <w:lvlJc w:val="left"/>
      <w:pPr>
        <w:ind w:left="501" w:hanging="360"/>
      </w:pPr>
      <w:rPr>
        <w:rFonts w:ascii="Symbol" w:hAnsi="Symbol" w:hint="default"/>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5" w15:restartNumberingAfterBreak="0">
    <w:nsid w:val="50ED6818"/>
    <w:multiLevelType w:val="multilevel"/>
    <w:tmpl w:val="60DA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AC65ED"/>
    <w:multiLevelType w:val="hybridMultilevel"/>
    <w:tmpl w:val="E00472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2CE7F34"/>
    <w:multiLevelType w:val="hybridMultilevel"/>
    <w:tmpl w:val="4E5C8EFE"/>
    <w:lvl w:ilvl="0" w:tplc="1409000F">
      <w:start w:val="1"/>
      <w:numFmt w:val="decimal"/>
      <w:lvlText w:val="%1."/>
      <w:lvlJc w:val="left"/>
      <w:pPr>
        <w:ind w:left="501"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8" w15:restartNumberingAfterBreak="0">
    <w:nsid w:val="5351139F"/>
    <w:multiLevelType w:val="hybridMultilevel"/>
    <w:tmpl w:val="6456B0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3C609D2"/>
    <w:multiLevelType w:val="hybridMultilevel"/>
    <w:tmpl w:val="E6583FC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6BB1CAE"/>
    <w:multiLevelType w:val="hybridMultilevel"/>
    <w:tmpl w:val="E3F0081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5C0A32FA"/>
    <w:multiLevelType w:val="hybridMultilevel"/>
    <w:tmpl w:val="98FEC6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F686647"/>
    <w:multiLevelType w:val="hybridMultilevel"/>
    <w:tmpl w:val="E4F2CDD8"/>
    <w:lvl w:ilvl="0" w:tplc="1409000F">
      <w:start w:val="1"/>
      <w:numFmt w:val="decimal"/>
      <w:lvlText w:val="%1."/>
      <w:lvlJc w:val="left"/>
      <w:pPr>
        <w:ind w:left="549" w:hanging="360"/>
      </w:pPr>
    </w:lvl>
    <w:lvl w:ilvl="1" w:tplc="14090019" w:tentative="1">
      <w:start w:val="1"/>
      <w:numFmt w:val="lowerLetter"/>
      <w:lvlText w:val="%2."/>
      <w:lvlJc w:val="left"/>
      <w:pPr>
        <w:ind w:left="1488" w:hanging="360"/>
      </w:pPr>
    </w:lvl>
    <w:lvl w:ilvl="2" w:tplc="1409001B" w:tentative="1">
      <w:start w:val="1"/>
      <w:numFmt w:val="lowerRoman"/>
      <w:lvlText w:val="%3."/>
      <w:lvlJc w:val="right"/>
      <w:pPr>
        <w:ind w:left="2208" w:hanging="180"/>
      </w:pPr>
    </w:lvl>
    <w:lvl w:ilvl="3" w:tplc="1409000F" w:tentative="1">
      <w:start w:val="1"/>
      <w:numFmt w:val="decimal"/>
      <w:lvlText w:val="%4."/>
      <w:lvlJc w:val="left"/>
      <w:pPr>
        <w:ind w:left="2928" w:hanging="360"/>
      </w:pPr>
    </w:lvl>
    <w:lvl w:ilvl="4" w:tplc="14090019" w:tentative="1">
      <w:start w:val="1"/>
      <w:numFmt w:val="lowerLetter"/>
      <w:lvlText w:val="%5."/>
      <w:lvlJc w:val="left"/>
      <w:pPr>
        <w:ind w:left="3648" w:hanging="360"/>
      </w:pPr>
    </w:lvl>
    <w:lvl w:ilvl="5" w:tplc="1409001B" w:tentative="1">
      <w:start w:val="1"/>
      <w:numFmt w:val="lowerRoman"/>
      <w:lvlText w:val="%6."/>
      <w:lvlJc w:val="right"/>
      <w:pPr>
        <w:ind w:left="4368" w:hanging="180"/>
      </w:pPr>
    </w:lvl>
    <w:lvl w:ilvl="6" w:tplc="1409000F" w:tentative="1">
      <w:start w:val="1"/>
      <w:numFmt w:val="decimal"/>
      <w:lvlText w:val="%7."/>
      <w:lvlJc w:val="left"/>
      <w:pPr>
        <w:ind w:left="5088" w:hanging="360"/>
      </w:pPr>
    </w:lvl>
    <w:lvl w:ilvl="7" w:tplc="14090019" w:tentative="1">
      <w:start w:val="1"/>
      <w:numFmt w:val="lowerLetter"/>
      <w:lvlText w:val="%8."/>
      <w:lvlJc w:val="left"/>
      <w:pPr>
        <w:ind w:left="5808" w:hanging="360"/>
      </w:pPr>
    </w:lvl>
    <w:lvl w:ilvl="8" w:tplc="1409001B" w:tentative="1">
      <w:start w:val="1"/>
      <w:numFmt w:val="lowerRoman"/>
      <w:lvlText w:val="%9."/>
      <w:lvlJc w:val="right"/>
      <w:pPr>
        <w:ind w:left="6528" w:hanging="180"/>
      </w:pPr>
    </w:lvl>
  </w:abstractNum>
  <w:abstractNum w:abstractNumId="23" w15:restartNumberingAfterBreak="0">
    <w:nsid w:val="617107A3"/>
    <w:multiLevelType w:val="hybridMultilevel"/>
    <w:tmpl w:val="8194B0DC"/>
    <w:lvl w:ilvl="0" w:tplc="1409000F">
      <w:start w:val="1"/>
      <w:numFmt w:val="decimal"/>
      <w:lvlText w:val="%1."/>
      <w:lvlJc w:val="left"/>
      <w:pPr>
        <w:ind w:left="501"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24" w15:restartNumberingAfterBreak="0">
    <w:nsid w:val="6CC626D8"/>
    <w:multiLevelType w:val="hybridMultilevel"/>
    <w:tmpl w:val="424CCDF2"/>
    <w:lvl w:ilvl="0" w:tplc="9B98A3CC">
      <w:start w:val="1"/>
      <w:numFmt w:val="decimal"/>
      <w:lvlText w:val="%1."/>
      <w:lvlJc w:val="left"/>
      <w:pPr>
        <w:ind w:left="720" w:hanging="360"/>
      </w:pPr>
      <w:rPr>
        <w:rFonts w:hint="default"/>
      </w:rPr>
    </w:lvl>
    <w:lvl w:ilvl="1" w:tplc="492803F6">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DA23724"/>
    <w:multiLevelType w:val="hybridMultilevel"/>
    <w:tmpl w:val="39BA1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11B5707"/>
    <w:multiLevelType w:val="hybridMultilevel"/>
    <w:tmpl w:val="CC403660"/>
    <w:lvl w:ilvl="0" w:tplc="99307172">
      <w:start w:val="10"/>
      <w:numFmt w:val="bullet"/>
      <w:lvlText w:val="−"/>
      <w:lvlJc w:val="left"/>
      <w:pPr>
        <w:ind w:left="408"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E276297"/>
    <w:multiLevelType w:val="hybridMultilevel"/>
    <w:tmpl w:val="1EC6F8D0"/>
    <w:lvl w:ilvl="0" w:tplc="9B98A3CC">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5"/>
  </w:num>
  <w:num w:numId="2">
    <w:abstractNumId w:val="2"/>
  </w:num>
  <w:num w:numId="3">
    <w:abstractNumId w:val="12"/>
  </w:num>
  <w:num w:numId="4">
    <w:abstractNumId w:val="1"/>
  </w:num>
  <w:num w:numId="5">
    <w:abstractNumId w:val="21"/>
  </w:num>
  <w:num w:numId="6">
    <w:abstractNumId w:val="26"/>
  </w:num>
  <w:num w:numId="7">
    <w:abstractNumId w:val="24"/>
  </w:num>
  <w:num w:numId="8">
    <w:abstractNumId w:val="3"/>
  </w:num>
  <w:num w:numId="9">
    <w:abstractNumId w:val="0"/>
  </w:num>
  <w:num w:numId="10">
    <w:abstractNumId w:val="11"/>
  </w:num>
  <w:num w:numId="11">
    <w:abstractNumId w:val="27"/>
  </w:num>
  <w:num w:numId="12">
    <w:abstractNumId w:val="4"/>
  </w:num>
  <w:num w:numId="13">
    <w:abstractNumId w:val="25"/>
  </w:num>
  <w:num w:numId="14">
    <w:abstractNumId w:val="13"/>
  </w:num>
  <w:num w:numId="15">
    <w:abstractNumId w:val="7"/>
  </w:num>
  <w:num w:numId="16">
    <w:abstractNumId w:val="20"/>
  </w:num>
  <w:num w:numId="17">
    <w:abstractNumId w:val="16"/>
  </w:num>
  <w:num w:numId="18">
    <w:abstractNumId w:val="14"/>
  </w:num>
  <w:num w:numId="19">
    <w:abstractNumId w:val="17"/>
  </w:num>
  <w:num w:numId="20">
    <w:abstractNumId w:val="18"/>
  </w:num>
  <w:num w:numId="21">
    <w:abstractNumId w:val="19"/>
  </w:num>
  <w:num w:numId="22">
    <w:abstractNumId w:val="10"/>
  </w:num>
  <w:num w:numId="23">
    <w:abstractNumId w:val="9"/>
  </w:num>
  <w:num w:numId="24">
    <w:abstractNumId w:val="5"/>
  </w:num>
  <w:num w:numId="25">
    <w:abstractNumId w:val="23"/>
  </w:num>
  <w:num w:numId="26">
    <w:abstractNumId w:val="8"/>
  </w:num>
  <w:num w:numId="27">
    <w:abstractNumId w:val="22"/>
  </w:num>
  <w:num w:numId="2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95"/>
    <w:rsid w:val="0000209C"/>
    <w:rsid w:val="00002EB3"/>
    <w:rsid w:val="00003928"/>
    <w:rsid w:val="00003CB0"/>
    <w:rsid w:val="000042B3"/>
    <w:rsid w:val="00004687"/>
    <w:rsid w:val="00004A54"/>
    <w:rsid w:val="00004B6E"/>
    <w:rsid w:val="00007325"/>
    <w:rsid w:val="00010948"/>
    <w:rsid w:val="00011FED"/>
    <w:rsid w:val="00012595"/>
    <w:rsid w:val="00016C5A"/>
    <w:rsid w:val="0002150D"/>
    <w:rsid w:val="00022E97"/>
    <w:rsid w:val="000247AD"/>
    <w:rsid w:val="0002558C"/>
    <w:rsid w:val="000259D4"/>
    <w:rsid w:val="00030443"/>
    <w:rsid w:val="0003149F"/>
    <w:rsid w:val="000330C7"/>
    <w:rsid w:val="00035894"/>
    <w:rsid w:val="00035918"/>
    <w:rsid w:val="00036B1A"/>
    <w:rsid w:val="00040B2A"/>
    <w:rsid w:val="00042AC1"/>
    <w:rsid w:val="00042C1C"/>
    <w:rsid w:val="0004614F"/>
    <w:rsid w:val="00053137"/>
    <w:rsid w:val="0005361C"/>
    <w:rsid w:val="00054259"/>
    <w:rsid w:val="00056D81"/>
    <w:rsid w:val="00057103"/>
    <w:rsid w:val="0005762C"/>
    <w:rsid w:val="00060601"/>
    <w:rsid w:val="00063734"/>
    <w:rsid w:val="00065E07"/>
    <w:rsid w:val="00066D16"/>
    <w:rsid w:val="000676B9"/>
    <w:rsid w:val="000746C0"/>
    <w:rsid w:val="000816EE"/>
    <w:rsid w:val="000819FE"/>
    <w:rsid w:val="00081A7E"/>
    <w:rsid w:val="00082160"/>
    <w:rsid w:val="00083F24"/>
    <w:rsid w:val="000878F0"/>
    <w:rsid w:val="0009018B"/>
    <w:rsid w:val="000926AC"/>
    <w:rsid w:val="000926BE"/>
    <w:rsid w:val="00092F63"/>
    <w:rsid w:val="00093A29"/>
    <w:rsid w:val="00094B5D"/>
    <w:rsid w:val="000A266C"/>
    <w:rsid w:val="000A423E"/>
    <w:rsid w:val="000A4603"/>
    <w:rsid w:val="000A55EB"/>
    <w:rsid w:val="000A56CE"/>
    <w:rsid w:val="000A718A"/>
    <w:rsid w:val="000B13BF"/>
    <w:rsid w:val="000B3B3A"/>
    <w:rsid w:val="000B555C"/>
    <w:rsid w:val="000B56B4"/>
    <w:rsid w:val="000B7B3B"/>
    <w:rsid w:val="000C1325"/>
    <w:rsid w:val="000C41D6"/>
    <w:rsid w:val="000C7EBA"/>
    <w:rsid w:val="000C7FBD"/>
    <w:rsid w:val="000D1B52"/>
    <w:rsid w:val="000D1C50"/>
    <w:rsid w:val="000D20B7"/>
    <w:rsid w:val="000D7B7B"/>
    <w:rsid w:val="000E066C"/>
    <w:rsid w:val="000E3D85"/>
    <w:rsid w:val="000E448F"/>
    <w:rsid w:val="000E50E3"/>
    <w:rsid w:val="000F0072"/>
    <w:rsid w:val="000F26D1"/>
    <w:rsid w:val="000F37D8"/>
    <w:rsid w:val="000F3918"/>
    <w:rsid w:val="000F586D"/>
    <w:rsid w:val="000F6276"/>
    <w:rsid w:val="000F6890"/>
    <w:rsid w:val="000F7E85"/>
    <w:rsid w:val="001019E0"/>
    <w:rsid w:val="00104911"/>
    <w:rsid w:val="00105303"/>
    <w:rsid w:val="00105745"/>
    <w:rsid w:val="0010734C"/>
    <w:rsid w:val="001167F9"/>
    <w:rsid w:val="00121FE1"/>
    <w:rsid w:val="001220DD"/>
    <w:rsid w:val="0012404C"/>
    <w:rsid w:val="00131BEB"/>
    <w:rsid w:val="00137E7D"/>
    <w:rsid w:val="001406B5"/>
    <w:rsid w:val="001417AA"/>
    <w:rsid w:val="00141FDC"/>
    <w:rsid w:val="00142A26"/>
    <w:rsid w:val="00143002"/>
    <w:rsid w:val="001516AF"/>
    <w:rsid w:val="001541D1"/>
    <w:rsid w:val="00154378"/>
    <w:rsid w:val="00160EC6"/>
    <w:rsid w:val="00161EED"/>
    <w:rsid w:val="00162155"/>
    <w:rsid w:val="00164ECF"/>
    <w:rsid w:val="00167535"/>
    <w:rsid w:val="00167E8B"/>
    <w:rsid w:val="00170A09"/>
    <w:rsid w:val="001715A3"/>
    <w:rsid w:val="001740FC"/>
    <w:rsid w:val="00174826"/>
    <w:rsid w:val="001759E3"/>
    <w:rsid w:val="00175ADE"/>
    <w:rsid w:val="00175F87"/>
    <w:rsid w:val="00180606"/>
    <w:rsid w:val="00183107"/>
    <w:rsid w:val="00183B8B"/>
    <w:rsid w:val="00184B38"/>
    <w:rsid w:val="00185B81"/>
    <w:rsid w:val="001871C3"/>
    <w:rsid w:val="001876EC"/>
    <w:rsid w:val="001904E8"/>
    <w:rsid w:val="00190572"/>
    <w:rsid w:val="00190B27"/>
    <w:rsid w:val="00196614"/>
    <w:rsid w:val="001A2498"/>
    <w:rsid w:val="001A293E"/>
    <w:rsid w:val="001A38A0"/>
    <w:rsid w:val="001A40DA"/>
    <w:rsid w:val="001B0625"/>
    <w:rsid w:val="001B66F5"/>
    <w:rsid w:val="001C07C0"/>
    <w:rsid w:val="001C132D"/>
    <w:rsid w:val="001C2DD3"/>
    <w:rsid w:val="001C32A4"/>
    <w:rsid w:val="001C3FBD"/>
    <w:rsid w:val="001C5361"/>
    <w:rsid w:val="001D145C"/>
    <w:rsid w:val="001D227D"/>
    <w:rsid w:val="001D2696"/>
    <w:rsid w:val="001D32B7"/>
    <w:rsid w:val="001D5416"/>
    <w:rsid w:val="001E058A"/>
    <w:rsid w:val="001E35BF"/>
    <w:rsid w:val="001E6C67"/>
    <w:rsid w:val="001E7326"/>
    <w:rsid w:val="001F05C7"/>
    <w:rsid w:val="001F0AC1"/>
    <w:rsid w:val="001F2F3E"/>
    <w:rsid w:val="001F4917"/>
    <w:rsid w:val="001F6E1A"/>
    <w:rsid w:val="001F7B05"/>
    <w:rsid w:val="0020086E"/>
    <w:rsid w:val="00203BE5"/>
    <w:rsid w:val="00204964"/>
    <w:rsid w:val="00213124"/>
    <w:rsid w:val="002140E8"/>
    <w:rsid w:val="00214ED3"/>
    <w:rsid w:val="00215106"/>
    <w:rsid w:val="002151B5"/>
    <w:rsid w:val="00217793"/>
    <w:rsid w:val="00231314"/>
    <w:rsid w:val="0023265F"/>
    <w:rsid w:val="0023417E"/>
    <w:rsid w:val="002371ED"/>
    <w:rsid w:val="00240A1F"/>
    <w:rsid w:val="00240F4B"/>
    <w:rsid w:val="00243124"/>
    <w:rsid w:val="002431C1"/>
    <w:rsid w:val="0024408F"/>
    <w:rsid w:val="0024787C"/>
    <w:rsid w:val="00252C2A"/>
    <w:rsid w:val="00254EEF"/>
    <w:rsid w:val="002600EF"/>
    <w:rsid w:val="00260CAD"/>
    <w:rsid w:val="00261E35"/>
    <w:rsid w:val="00266359"/>
    <w:rsid w:val="00270190"/>
    <w:rsid w:val="0027204A"/>
    <w:rsid w:val="00275312"/>
    <w:rsid w:val="00281562"/>
    <w:rsid w:val="00285DE8"/>
    <w:rsid w:val="00293258"/>
    <w:rsid w:val="00293B1A"/>
    <w:rsid w:val="002958EC"/>
    <w:rsid w:val="00296DD8"/>
    <w:rsid w:val="002A0AFF"/>
    <w:rsid w:val="002A35CA"/>
    <w:rsid w:val="002A4D10"/>
    <w:rsid w:val="002A630D"/>
    <w:rsid w:val="002A6D91"/>
    <w:rsid w:val="002B4DCC"/>
    <w:rsid w:val="002C4E85"/>
    <w:rsid w:val="002C6DB3"/>
    <w:rsid w:val="002D0830"/>
    <w:rsid w:val="002D0E7F"/>
    <w:rsid w:val="002D3147"/>
    <w:rsid w:val="002D35D7"/>
    <w:rsid w:val="002D4DD7"/>
    <w:rsid w:val="002D6B4E"/>
    <w:rsid w:val="002E377E"/>
    <w:rsid w:val="002E4095"/>
    <w:rsid w:val="002E54F3"/>
    <w:rsid w:val="002E7441"/>
    <w:rsid w:val="002F0772"/>
    <w:rsid w:val="002F1835"/>
    <w:rsid w:val="002F2562"/>
    <w:rsid w:val="002F69C0"/>
    <w:rsid w:val="0030093A"/>
    <w:rsid w:val="00301E8F"/>
    <w:rsid w:val="003128AC"/>
    <w:rsid w:val="00314B72"/>
    <w:rsid w:val="0032281D"/>
    <w:rsid w:val="003233D7"/>
    <w:rsid w:val="00323A12"/>
    <w:rsid w:val="003247A9"/>
    <w:rsid w:val="00332426"/>
    <w:rsid w:val="00333F14"/>
    <w:rsid w:val="003341A3"/>
    <w:rsid w:val="00335866"/>
    <w:rsid w:val="00336EC7"/>
    <w:rsid w:val="00337CD5"/>
    <w:rsid w:val="00340C25"/>
    <w:rsid w:val="0034176D"/>
    <w:rsid w:val="00345E49"/>
    <w:rsid w:val="00346761"/>
    <w:rsid w:val="00350359"/>
    <w:rsid w:val="003506E8"/>
    <w:rsid w:val="003537DF"/>
    <w:rsid w:val="003547A2"/>
    <w:rsid w:val="00354C1E"/>
    <w:rsid w:val="0035596E"/>
    <w:rsid w:val="00360308"/>
    <w:rsid w:val="00362889"/>
    <w:rsid w:val="00363683"/>
    <w:rsid w:val="00365B53"/>
    <w:rsid w:val="00372612"/>
    <w:rsid w:val="00373179"/>
    <w:rsid w:val="00374766"/>
    <w:rsid w:val="00381333"/>
    <w:rsid w:val="00381479"/>
    <w:rsid w:val="00381D93"/>
    <w:rsid w:val="003822A2"/>
    <w:rsid w:val="003855E2"/>
    <w:rsid w:val="003877D1"/>
    <w:rsid w:val="0039066A"/>
    <w:rsid w:val="003906EA"/>
    <w:rsid w:val="00391DCE"/>
    <w:rsid w:val="00392443"/>
    <w:rsid w:val="003936F5"/>
    <w:rsid w:val="00397B84"/>
    <w:rsid w:val="00397E12"/>
    <w:rsid w:val="003A3B2E"/>
    <w:rsid w:val="003A662B"/>
    <w:rsid w:val="003A75AE"/>
    <w:rsid w:val="003B0672"/>
    <w:rsid w:val="003B383C"/>
    <w:rsid w:val="003B49ED"/>
    <w:rsid w:val="003B701E"/>
    <w:rsid w:val="003B7AD1"/>
    <w:rsid w:val="003C112A"/>
    <w:rsid w:val="003C20B6"/>
    <w:rsid w:val="003C3539"/>
    <w:rsid w:val="003C5631"/>
    <w:rsid w:val="003D0603"/>
    <w:rsid w:val="003D2BC8"/>
    <w:rsid w:val="003D2DD5"/>
    <w:rsid w:val="003D4A34"/>
    <w:rsid w:val="003D5863"/>
    <w:rsid w:val="003E11BC"/>
    <w:rsid w:val="003E3752"/>
    <w:rsid w:val="003E6B73"/>
    <w:rsid w:val="003F2AED"/>
    <w:rsid w:val="003F2E92"/>
    <w:rsid w:val="003F5503"/>
    <w:rsid w:val="003F78FD"/>
    <w:rsid w:val="004000F9"/>
    <w:rsid w:val="00401C1F"/>
    <w:rsid w:val="004050CC"/>
    <w:rsid w:val="004056F9"/>
    <w:rsid w:val="00405C21"/>
    <w:rsid w:val="00410AC6"/>
    <w:rsid w:val="00412ED0"/>
    <w:rsid w:val="004167A8"/>
    <w:rsid w:val="00417D90"/>
    <w:rsid w:val="004235CB"/>
    <w:rsid w:val="004247DD"/>
    <w:rsid w:val="0042692F"/>
    <w:rsid w:val="004302AE"/>
    <w:rsid w:val="00433BF4"/>
    <w:rsid w:val="0044455B"/>
    <w:rsid w:val="004453D7"/>
    <w:rsid w:val="00446109"/>
    <w:rsid w:val="00446C86"/>
    <w:rsid w:val="00447AA9"/>
    <w:rsid w:val="004540A4"/>
    <w:rsid w:val="0045448E"/>
    <w:rsid w:val="0045474B"/>
    <w:rsid w:val="00455509"/>
    <w:rsid w:val="004638D4"/>
    <w:rsid w:val="00464529"/>
    <w:rsid w:val="004741F3"/>
    <w:rsid w:val="0047782E"/>
    <w:rsid w:val="00477B2A"/>
    <w:rsid w:val="00480700"/>
    <w:rsid w:val="00484604"/>
    <w:rsid w:val="00487606"/>
    <w:rsid w:val="00492324"/>
    <w:rsid w:val="00497D83"/>
    <w:rsid w:val="004A02FA"/>
    <w:rsid w:val="004A15ED"/>
    <w:rsid w:val="004A1DF6"/>
    <w:rsid w:val="004A21A0"/>
    <w:rsid w:val="004A4D09"/>
    <w:rsid w:val="004A7FBF"/>
    <w:rsid w:val="004B5393"/>
    <w:rsid w:val="004B7A11"/>
    <w:rsid w:val="004C3705"/>
    <w:rsid w:val="004C4917"/>
    <w:rsid w:val="004C5221"/>
    <w:rsid w:val="004D0DC9"/>
    <w:rsid w:val="004D2245"/>
    <w:rsid w:val="004D4679"/>
    <w:rsid w:val="004D67E6"/>
    <w:rsid w:val="004D74AC"/>
    <w:rsid w:val="004E2501"/>
    <w:rsid w:val="004E532C"/>
    <w:rsid w:val="004F1CCE"/>
    <w:rsid w:val="004F1CF1"/>
    <w:rsid w:val="004F1D7E"/>
    <w:rsid w:val="004F6528"/>
    <w:rsid w:val="004F7045"/>
    <w:rsid w:val="005046B9"/>
    <w:rsid w:val="005125C8"/>
    <w:rsid w:val="005153B5"/>
    <w:rsid w:val="00516D68"/>
    <w:rsid w:val="00520106"/>
    <w:rsid w:val="00521646"/>
    <w:rsid w:val="005233FD"/>
    <w:rsid w:val="00524332"/>
    <w:rsid w:val="0052727F"/>
    <w:rsid w:val="0052789E"/>
    <w:rsid w:val="00530CF4"/>
    <w:rsid w:val="005310E8"/>
    <w:rsid w:val="00531300"/>
    <w:rsid w:val="00531C00"/>
    <w:rsid w:val="0053381D"/>
    <w:rsid w:val="00536016"/>
    <w:rsid w:val="0054569F"/>
    <w:rsid w:val="005541C4"/>
    <w:rsid w:val="0055684F"/>
    <w:rsid w:val="00557AFB"/>
    <w:rsid w:val="005634D9"/>
    <w:rsid w:val="005640F9"/>
    <w:rsid w:val="00567595"/>
    <w:rsid w:val="00567F7E"/>
    <w:rsid w:val="00570B56"/>
    <w:rsid w:val="005732FC"/>
    <w:rsid w:val="00576554"/>
    <w:rsid w:val="0057698F"/>
    <w:rsid w:val="00577B8E"/>
    <w:rsid w:val="00577F5D"/>
    <w:rsid w:val="00582D11"/>
    <w:rsid w:val="00584890"/>
    <w:rsid w:val="00591E7C"/>
    <w:rsid w:val="005931A2"/>
    <w:rsid w:val="00595D7A"/>
    <w:rsid w:val="00597A93"/>
    <w:rsid w:val="005A16D1"/>
    <w:rsid w:val="005A2064"/>
    <w:rsid w:val="005A2520"/>
    <w:rsid w:val="005A27CF"/>
    <w:rsid w:val="005B2B52"/>
    <w:rsid w:val="005B366D"/>
    <w:rsid w:val="005B49E2"/>
    <w:rsid w:val="005C19D8"/>
    <w:rsid w:val="005D0EFE"/>
    <w:rsid w:val="005D65D6"/>
    <w:rsid w:val="005D726C"/>
    <w:rsid w:val="005D7931"/>
    <w:rsid w:val="005E0E71"/>
    <w:rsid w:val="005E2143"/>
    <w:rsid w:val="005E2C0F"/>
    <w:rsid w:val="005E5334"/>
    <w:rsid w:val="005F029F"/>
    <w:rsid w:val="005F1872"/>
    <w:rsid w:val="005F2176"/>
    <w:rsid w:val="005F4551"/>
    <w:rsid w:val="005F70D2"/>
    <w:rsid w:val="005F74E5"/>
    <w:rsid w:val="005F7FE1"/>
    <w:rsid w:val="006020C1"/>
    <w:rsid w:val="00602462"/>
    <w:rsid w:val="0060287C"/>
    <w:rsid w:val="0060736E"/>
    <w:rsid w:val="00611249"/>
    <w:rsid w:val="006118DD"/>
    <w:rsid w:val="006126B0"/>
    <w:rsid w:val="00614E94"/>
    <w:rsid w:val="00615A20"/>
    <w:rsid w:val="00615E78"/>
    <w:rsid w:val="00616B19"/>
    <w:rsid w:val="006208D6"/>
    <w:rsid w:val="00620AB0"/>
    <w:rsid w:val="00621525"/>
    <w:rsid w:val="00621682"/>
    <w:rsid w:val="0062290A"/>
    <w:rsid w:val="006243B1"/>
    <w:rsid w:val="00624438"/>
    <w:rsid w:val="00634A51"/>
    <w:rsid w:val="00635816"/>
    <w:rsid w:val="00636723"/>
    <w:rsid w:val="00636F22"/>
    <w:rsid w:val="00641F23"/>
    <w:rsid w:val="00642946"/>
    <w:rsid w:val="0064730B"/>
    <w:rsid w:val="00647A20"/>
    <w:rsid w:val="00655210"/>
    <w:rsid w:val="00657448"/>
    <w:rsid w:val="0066072B"/>
    <w:rsid w:val="00664784"/>
    <w:rsid w:val="006656BC"/>
    <w:rsid w:val="00665B3C"/>
    <w:rsid w:val="00665E6E"/>
    <w:rsid w:val="00666008"/>
    <w:rsid w:val="0066738C"/>
    <w:rsid w:val="00672C65"/>
    <w:rsid w:val="00672DCC"/>
    <w:rsid w:val="00673F8D"/>
    <w:rsid w:val="006838E4"/>
    <w:rsid w:val="00684F43"/>
    <w:rsid w:val="00685CBB"/>
    <w:rsid w:val="00690EE9"/>
    <w:rsid w:val="00691C42"/>
    <w:rsid w:val="006923BA"/>
    <w:rsid w:val="00694D74"/>
    <w:rsid w:val="00695EC6"/>
    <w:rsid w:val="006A1B2B"/>
    <w:rsid w:val="006A3905"/>
    <w:rsid w:val="006A4350"/>
    <w:rsid w:val="006A6DC5"/>
    <w:rsid w:val="006B1FD9"/>
    <w:rsid w:val="006B3AE6"/>
    <w:rsid w:val="006B3B2F"/>
    <w:rsid w:val="006B3C6D"/>
    <w:rsid w:val="006B4A6A"/>
    <w:rsid w:val="006B5AEA"/>
    <w:rsid w:val="006B5EE9"/>
    <w:rsid w:val="006C1136"/>
    <w:rsid w:val="006C206E"/>
    <w:rsid w:val="006C28F8"/>
    <w:rsid w:val="006C3A3A"/>
    <w:rsid w:val="006C5A1B"/>
    <w:rsid w:val="006D18B7"/>
    <w:rsid w:val="006D1C0D"/>
    <w:rsid w:val="006D6991"/>
    <w:rsid w:val="006E750F"/>
    <w:rsid w:val="006E7F41"/>
    <w:rsid w:val="006F1E62"/>
    <w:rsid w:val="006F21A8"/>
    <w:rsid w:val="007003EC"/>
    <w:rsid w:val="0070738E"/>
    <w:rsid w:val="00715741"/>
    <w:rsid w:val="00717029"/>
    <w:rsid w:val="00717F03"/>
    <w:rsid w:val="00720208"/>
    <w:rsid w:val="00720FC4"/>
    <w:rsid w:val="007232F2"/>
    <w:rsid w:val="00723A4B"/>
    <w:rsid w:val="00726EF9"/>
    <w:rsid w:val="00727057"/>
    <w:rsid w:val="00735063"/>
    <w:rsid w:val="0074177E"/>
    <w:rsid w:val="007427D4"/>
    <w:rsid w:val="00743FAA"/>
    <w:rsid w:val="00747110"/>
    <w:rsid w:val="007478A1"/>
    <w:rsid w:val="00752CCC"/>
    <w:rsid w:val="00753254"/>
    <w:rsid w:val="007532E2"/>
    <w:rsid w:val="007550CC"/>
    <w:rsid w:val="00756F4D"/>
    <w:rsid w:val="00760739"/>
    <w:rsid w:val="00761AAD"/>
    <w:rsid w:val="007641A7"/>
    <w:rsid w:val="00765954"/>
    <w:rsid w:val="00767DBF"/>
    <w:rsid w:val="00771B80"/>
    <w:rsid w:val="00771DBB"/>
    <w:rsid w:val="0077590F"/>
    <w:rsid w:val="00775FB5"/>
    <w:rsid w:val="007766B4"/>
    <w:rsid w:val="00781149"/>
    <w:rsid w:val="00781565"/>
    <w:rsid w:val="0078523F"/>
    <w:rsid w:val="00785E91"/>
    <w:rsid w:val="00787693"/>
    <w:rsid w:val="00787CBE"/>
    <w:rsid w:val="00790175"/>
    <w:rsid w:val="007903DC"/>
    <w:rsid w:val="0079187A"/>
    <w:rsid w:val="00797F6D"/>
    <w:rsid w:val="007A3756"/>
    <w:rsid w:val="007A3F66"/>
    <w:rsid w:val="007A5A35"/>
    <w:rsid w:val="007A6062"/>
    <w:rsid w:val="007B0CD6"/>
    <w:rsid w:val="007B2C41"/>
    <w:rsid w:val="007B4376"/>
    <w:rsid w:val="007B5003"/>
    <w:rsid w:val="007B7C39"/>
    <w:rsid w:val="007C28E5"/>
    <w:rsid w:val="007C40F9"/>
    <w:rsid w:val="007C5CDC"/>
    <w:rsid w:val="007D1341"/>
    <w:rsid w:val="007D1E25"/>
    <w:rsid w:val="007D37D2"/>
    <w:rsid w:val="007D406E"/>
    <w:rsid w:val="007D4289"/>
    <w:rsid w:val="007E22B1"/>
    <w:rsid w:val="007E762A"/>
    <w:rsid w:val="007F0A06"/>
    <w:rsid w:val="007F0C11"/>
    <w:rsid w:val="007F1880"/>
    <w:rsid w:val="007F35E4"/>
    <w:rsid w:val="007F51C3"/>
    <w:rsid w:val="007F6357"/>
    <w:rsid w:val="007F7C5F"/>
    <w:rsid w:val="008000A1"/>
    <w:rsid w:val="00800132"/>
    <w:rsid w:val="00804CAC"/>
    <w:rsid w:val="0080629B"/>
    <w:rsid w:val="008115C2"/>
    <w:rsid w:val="008115FE"/>
    <w:rsid w:val="0081259D"/>
    <w:rsid w:val="00817F78"/>
    <w:rsid w:val="0082338C"/>
    <w:rsid w:val="008270D0"/>
    <w:rsid w:val="0082779B"/>
    <w:rsid w:val="0083059F"/>
    <w:rsid w:val="008314A8"/>
    <w:rsid w:val="00832407"/>
    <w:rsid w:val="00832823"/>
    <w:rsid w:val="00833CBF"/>
    <w:rsid w:val="00834D72"/>
    <w:rsid w:val="008375FA"/>
    <w:rsid w:val="008411E8"/>
    <w:rsid w:val="00842DDC"/>
    <w:rsid w:val="008432D4"/>
    <w:rsid w:val="00844102"/>
    <w:rsid w:val="008444C7"/>
    <w:rsid w:val="00845B2A"/>
    <w:rsid w:val="00845E1F"/>
    <w:rsid w:val="00846905"/>
    <w:rsid w:val="00850A63"/>
    <w:rsid w:val="00851B07"/>
    <w:rsid w:val="008527F5"/>
    <w:rsid w:val="00855527"/>
    <w:rsid w:val="00857218"/>
    <w:rsid w:val="00861394"/>
    <w:rsid w:val="00861BC4"/>
    <w:rsid w:val="00864787"/>
    <w:rsid w:val="0086495F"/>
    <w:rsid w:val="00864F45"/>
    <w:rsid w:val="00866939"/>
    <w:rsid w:val="00873893"/>
    <w:rsid w:val="0087545D"/>
    <w:rsid w:val="00880014"/>
    <w:rsid w:val="00880516"/>
    <w:rsid w:val="00881C71"/>
    <w:rsid w:val="00882B87"/>
    <w:rsid w:val="00883B3D"/>
    <w:rsid w:val="0088550C"/>
    <w:rsid w:val="008856E9"/>
    <w:rsid w:val="00887697"/>
    <w:rsid w:val="00896A92"/>
    <w:rsid w:val="008A274A"/>
    <w:rsid w:val="008A2A95"/>
    <w:rsid w:val="008A4BD9"/>
    <w:rsid w:val="008A591D"/>
    <w:rsid w:val="008A728F"/>
    <w:rsid w:val="008B3342"/>
    <w:rsid w:val="008B7CBD"/>
    <w:rsid w:val="008C052E"/>
    <w:rsid w:val="008C11E7"/>
    <w:rsid w:val="008C516B"/>
    <w:rsid w:val="008C6323"/>
    <w:rsid w:val="008D6FE1"/>
    <w:rsid w:val="008D756F"/>
    <w:rsid w:val="008E1046"/>
    <w:rsid w:val="008E4FF2"/>
    <w:rsid w:val="008F33EA"/>
    <w:rsid w:val="008F3AEA"/>
    <w:rsid w:val="008F4F3E"/>
    <w:rsid w:val="008F5D9F"/>
    <w:rsid w:val="008F5DE1"/>
    <w:rsid w:val="008F779D"/>
    <w:rsid w:val="008F7F2E"/>
    <w:rsid w:val="00907364"/>
    <w:rsid w:val="0091005A"/>
    <w:rsid w:val="00910127"/>
    <w:rsid w:val="009106FC"/>
    <w:rsid w:val="00920903"/>
    <w:rsid w:val="00921108"/>
    <w:rsid w:val="009213AA"/>
    <w:rsid w:val="00921769"/>
    <w:rsid w:val="00924226"/>
    <w:rsid w:val="0093079B"/>
    <w:rsid w:val="00931107"/>
    <w:rsid w:val="009348EE"/>
    <w:rsid w:val="00934A46"/>
    <w:rsid w:val="00934AEE"/>
    <w:rsid w:val="00940F00"/>
    <w:rsid w:val="00942BB4"/>
    <w:rsid w:val="00945088"/>
    <w:rsid w:val="009454E6"/>
    <w:rsid w:val="00950FFB"/>
    <w:rsid w:val="00951E65"/>
    <w:rsid w:val="009520D6"/>
    <w:rsid w:val="00953573"/>
    <w:rsid w:val="00953D1B"/>
    <w:rsid w:val="0095627E"/>
    <w:rsid w:val="00957E88"/>
    <w:rsid w:val="00960046"/>
    <w:rsid w:val="0096102D"/>
    <w:rsid w:val="009635DF"/>
    <w:rsid w:val="00966AED"/>
    <w:rsid w:val="00967616"/>
    <w:rsid w:val="009707C2"/>
    <w:rsid w:val="009723D1"/>
    <w:rsid w:val="00974B39"/>
    <w:rsid w:val="00977520"/>
    <w:rsid w:val="009779A2"/>
    <w:rsid w:val="009815B3"/>
    <w:rsid w:val="0098208A"/>
    <w:rsid w:val="00986965"/>
    <w:rsid w:val="00986F84"/>
    <w:rsid w:val="009918C3"/>
    <w:rsid w:val="00991ECB"/>
    <w:rsid w:val="0099215C"/>
    <w:rsid w:val="00995729"/>
    <w:rsid w:val="00996A30"/>
    <w:rsid w:val="00996E15"/>
    <w:rsid w:val="009975EC"/>
    <w:rsid w:val="009A1E2C"/>
    <w:rsid w:val="009A23F6"/>
    <w:rsid w:val="009A501E"/>
    <w:rsid w:val="009A74DC"/>
    <w:rsid w:val="009B3227"/>
    <w:rsid w:val="009B3E79"/>
    <w:rsid w:val="009B566A"/>
    <w:rsid w:val="009C0855"/>
    <w:rsid w:val="009C40AC"/>
    <w:rsid w:val="009C52B5"/>
    <w:rsid w:val="009C57B0"/>
    <w:rsid w:val="009C5AD9"/>
    <w:rsid w:val="009C7617"/>
    <w:rsid w:val="009D26E3"/>
    <w:rsid w:val="009E0FC9"/>
    <w:rsid w:val="009E1AE5"/>
    <w:rsid w:val="009E1B20"/>
    <w:rsid w:val="009E66B3"/>
    <w:rsid w:val="009E6D71"/>
    <w:rsid w:val="009E7C2D"/>
    <w:rsid w:val="009F08AD"/>
    <w:rsid w:val="009F2C16"/>
    <w:rsid w:val="009F37CE"/>
    <w:rsid w:val="009F4824"/>
    <w:rsid w:val="009F4894"/>
    <w:rsid w:val="009F734B"/>
    <w:rsid w:val="00A0177A"/>
    <w:rsid w:val="00A02069"/>
    <w:rsid w:val="00A04231"/>
    <w:rsid w:val="00A04F0B"/>
    <w:rsid w:val="00A05EC6"/>
    <w:rsid w:val="00A12B71"/>
    <w:rsid w:val="00A2173E"/>
    <w:rsid w:val="00A223E1"/>
    <w:rsid w:val="00A22727"/>
    <w:rsid w:val="00A312D0"/>
    <w:rsid w:val="00A32667"/>
    <w:rsid w:val="00A34028"/>
    <w:rsid w:val="00A34A47"/>
    <w:rsid w:val="00A37257"/>
    <w:rsid w:val="00A40452"/>
    <w:rsid w:val="00A40F18"/>
    <w:rsid w:val="00A41E24"/>
    <w:rsid w:val="00A42BC0"/>
    <w:rsid w:val="00A44245"/>
    <w:rsid w:val="00A442CF"/>
    <w:rsid w:val="00A47671"/>
    <w:rsid w:val="00A478F3"/>
    <w:rsid w:val="00A503DC"/>
    <w:rsid w:val="00A55F00"/>
    <w:rsid w:val="00A576CF"/>
    <w:rsid w:val="00A60BA0"/>
    <w:rsid w:val="00A62FF5"/>
    <w:rsid w:val="00A6538E"/>
    <w:rsid w:val="00A65939"/>
    <w:rsid w:val="00A70C4B"/>
    <w:rsid w:val="00A72CED"/>
    <w:rsid w:val="00A72D29"/>
    <w:rsid w:val="00A81EFF"/>
    <w:rsid w:val="00A844C7"/>
    <w:rsid w:val="00A84C2D"/>
    <w:rsid w:val="00A8529F"/>
    <w:rsid w:val="00A85FAD"/>
    <w:rsid w:val="00A90B99"/>
    <w:rsid w:val="00A91B72"/>
    <w:rsid w:val="00A95A27"/>
    <w:rsid w:val="00A9787F"/>
    <w:rsid w:val="00AA38C1"/>
    <w:rsid w:val="00AA6A2D"/>
    <w:rsid w:val="00AB5078"/>
    <w:rsid w:val="00AC3EF6"/>
    <w:rsid w:val="00AC5068"/>
    <w:rsid w:val="00AC50DA"/>
    <w:rsid w:val="00AC5ACF"/>
    <w:rsid w:val="00AD22BA"/>
    <w:rsid w:val="00AD2CB1"/>
    <w:rsid w:val="00AD3188"/>
    <w:rsid w:val="00AD6677"/>
    <w:rsid w:val="00AE057A"/>
    <w:rsid w:val="00AE24C6"/>
    <w:rsid w:val="00AE2608"/>
    <w:rsid w:val="00AE31E1"/>
    <w:rsid w:val="00AE4495"/>
    <w:rsid w:val="00AE471E"/>
    <w:rsid w:val="00AF02AA"/>
    <w:rsid w:val="00AF032E"/>
    <w:rsid w:val="00AF419B"/>
    <w:rsid w:val="00AF424A"/>
    <w:rsid w:val="00AF5A04"/>
    <w:rsid w:val="00B0192C"/>
    <w:rsid w:val="00B041B4"/>
    <w:rsid w:val="00B042C8"/>
    <w:rsid w:val="00B058A3"/>
    <w:rsid w:val="00B06625"/>
    <w:rsid w:val="00B103E5"/>
    <w:rsid w:val="00B11555"/>
    <w:rsid w:val="00B129BD"/>
    <w:rsid w:val="00B13781"/>
    <w:rsid w:val="00B20B67"/>
    <w:rsid w:val="00B227BD"/>
    <w:rsid w:val="00B25450"/>
    <w:rsid w:val="00B26342"/>
    <w:rsid w:val="00B31102"/>
    <w:rsid w:val="00B34104"/>
    <w:rsid w:val="00B3463F"/>
    <w:rsid w:val="00B40A32"/>
    <w:rsid w:val="00B434F8"/>
    <w:rsid w:val="00B46D22"/>
    <w:rsid w:val="00B4746F"/>
    <w:rsid w:val="00B50F1F"/>
    <w:rsid w:val="00B520FA"/>
    <w:rsid w:val="00B54232"/>
    <w:rsid w:val="00B54543"/>
    <w:rsid w:val="00B61C86"/>
    <w:rsid w:val="00B6725F"/>
    <w:rsid w:val="00B7031B"/>
    <w:rsid w:val="00B70F1C"/>
    <w:rsid w:val="00B72129"/>
    <w:rsid w:val="00B755E3"/>
    <w:rsid w:val="00B77013"/>
    <w:rsid w:val="00B77BC0"/>
    <w:rsid w:val="00B819E5"/>
    <w:rsid w:val="00B83C94"/>
    <w:rsid w:val="00B85D7D"/>
    <w:rsid w:val="00B90480"/>
    <w:rsid w:val="00B914E4"/>
    <w:rsid w:val="00B9333D"/>
    <w:rsid w:val="00B93612"/>
    <w:rsid w:val="00B93B48"/>
    <w:rsid w:val="00B97004"/>
    <w:rsid w:val="00BA04FE"/>
    <w:rsid w:val="00BB4B20"/>
    <w:rsid w:val="00BB6112"/>
    <w:rsid w:val="00BB675D"/>
    <w:rsid w:val="00BC0F9E"/>
    <w:rsid w:val="00BC1BFD"/>
    <w:rsid w:val="00BC3C38"/>
    <w:rsid w:val="00BC63E3"/>
    <w:rsid w:val="00BD2977"/>
    <w:rsid w:val="00BD2DBB"/>
    <w:rsid w:val="00BD3EFE"/>
    <w:rsid w:val="00BD4CA0"/>
    <w:rsid w:val="00BD59BA"/>
    <w:rsid w:val="00BD69F4"/>
    <w:rsid w:val="00BE23E8"/>
    <w:rsid w:val="00BE4D92"/>
    <w:rsid w:val="00BF1B45"/>
    <w:rsid w:val="00BF336D"/>
    <w:rsid w:val="00BF5558"/>
    <w:rsid w:val="00BF6147"/>
    <w:rsid w:val="00BF7EED"/>
    <w:rsid w:val="00C00BBD"/>
    <w:rsid w:val="00C0135E"/>
    <w:rsid w:val="00C018E7"/>
    <w:rsid w:val="00C04979"/>
    <w:rsid w:val="00C05781"/>
    <w:rsid w:val="00C05B6C"/>
    <w:rsid w:val="00C1302A"/>
    <w:rsid w:val="00C15ABB"/>
    <w:rsid w:val="00C20ABF"/>
    <w:rsid w:val="00C25732"/>
    <w:rsid w:val="00C26DEF"/>
    <w:rsid w:val="00C27BE3"/>
    <w:rsid w:val="00C31B81"/>
    <w:rsid w:val="00C34146"/>
    <w:rsid w:val="00C36E5B"/>
    <w:rsid w:val="00C4006B"/>
    <w:rsid w:val="00C409F7"/>
    <w:rsid w:val="00C41C2B"/>
    <w:rsid w:val="00C4570D"/>
    <w:rsid w:val="00C503D3"/>
    <w:rsid w:val="00C51942"/>
    <w:rsid w:val="00C55ACC"/>
    <w:rsid w:val="00C56AD7"/>
    <w:rsid w:val="00C61153"/>
    <w:rsid w:val="00C61C1D"/>
    <w:rsid w:val="00C63190"/>
    <w:rsid w:val="00C63EEB"/>
    <w:rsid w:val="00C66E6E"/>
    <w:rsid w:val="00C67611"/>
    <w:rsid w:val="00C82930"/>
    <w:rsid w:val="00C82A04"/>
    <w:rsid w:val="00C8613F"/>
    <w:rsid w:val="00C901B2"/>
    <w:rsid w:val="00C90282"/>
    <w:rsid w:val="00C909E1"/>
    <w:rsid w:val="00C918A0"/>
    <w:rsid w:val="00C94CB0"/>
    <w:rsid w:val="00CA0B42"/>
    <w:rsid w:val="00CA281E"/>
    <w:rsid w:val="00CA2F69"/>
    <w:rsid w:val="00CA466C"/>
    <w:rsid w:val="00CA4F07"/>
    <w:rsid w:val="00CA7176"/>
    <w:rsid w:val="00CB5C71"/>
    <w:rsid w:val="00CB68B0"/>
    <w:rsid w:val="00CB7739"/>
    <w:rsid w:val="00CC2183"/>
    <w:rsid w:val="00CC3084"/>
    <w:rsid w:val="00CC58CA"/>
    <w:rsid w:val="00CC64FF"/>
    <w:rsid w:val="00CC6D29"/>
    <w:rsid w:val="00CD0717"/>
    <w:rsid w:val="00CD1E87"/>
    <w:rsid w:val="00CD3FF6"/>
    <w:rsid w:val="00CD496A"/>
    <w:rsid w:val="00CD4A85"/>
    <w:rsid w:val="00CE22AE"/>
    <w:rsid w:val="00CE32DA"/>
    <w:rsid w:val="00CE38D2"/>
    <w:rsid w:val="00CE7B2E"/>
    <w:rsid w:val="00CE7B4A"/>
    <w:rsid w:val="00CF27DD"/>
    <w:rsid w:val="00CF65D1"/>
    <w:rsid w:val="00CF6739"/>
    <w:rsid w:val="00CF681B"/>
    <w:rsid w:val="00CF68DB"/>
    <w:rsid w:val="00CF7EE4"/>
    <w:rsid w:val="00D0065C"/>
    <w:rsid w:val="00D01A67"/>
    <w:rsid w:val="00D028B5"/>
    <w:rsid w:val="00D04D3F"/>
    <w:rsid w:val="00D064FA"/>
    <w:rsid w:val="00D06B71"/>
    <w:rsid w:val="00D06E44"/>
    <w:rsid w:val="00D12187"/>
    <w:rsid w:val="00D12D45"/>
    <w:rsid w:val="00D130D4"/>
    <w:rsid w:val="00D138E2"/>
    <w:rsid w:val="00D1560B"/>
    <w:rsid w:val="00D17ED8"/>
    <w:rsid w:val="00D217B3"/>
    <w:rsid w:val="00D22FA8"/>
    <w:rsid w:val="00D3042F"/>
    <w:rsid w:val="00D30BC5"/>
    <w:rsid w:val="00D3297C"/>
    <w:rsid w:val="00D32F80"/>
    <w:rsid w:val="00D34910"/>
    <w:rsid w:val="00D36B92"/>
    <w:rsid w:val="00D373C7"/>
    <w:rsid w:val="00D40501"/>
    <w:rsid w:val="00D411A6"/>
    <w:rsid w:val="00D44C4C"/>
    <w:rsid w:val="00D4505F"/>
    <w:rsid w:val="00D45FFF"/>
    <w:rsid w:val="00D509C5"/>
    <w:rsid w:val="00D50B07"/>
    <w:rsid w:val="00D5236F"/>
    <w:rsid w:val="00D53F13"/>
    <w:rsid w:val="00D540BC"/>
    <w:rsid w:val="00D55673"/>
    <w:rsid w:val="00D55C11"/>
    <w:rsid w:val="00D577AB"/>
    <w:rsid w:val="00D625A2"/>
    <w:rsid w:val="00D66BED"/>
    <w:rsid w:val="00D80264"/>
    <w:rsid w:val="00D816AE"/>
    <w:rsid w:val="00D8339A"/>
    <w:rsid w:val="00D84565"/>
    <w:rsid w:val="00D86FDF"/>
    <w:rsid w:val="00D87B79"/>
    <w:rsid w:val="00D90248"/>
    <w:rsid w:val="00D94B0C"/>
    <w:rsid w:val="00DA109F"/>
    <w:rsid w:val="00DA2D0A"/>
    <w:rsid w:val="00DA5162"/>
    <w:rsid w:val="00DA78A6"/>
    <w:rsid w:val="00DB38AC"/>
    <w:rsid w:val="00DB57BB"/>
    <w:rsid w:val="00DB5C97"/>
    <w:rsid w:val="00DB79B3"/>
    <w:rsid w:val="00DC2408"/>
    <w:rsid w:val="00DC6E09"/>
    <w:rsid w:val="00DC7337"/>
    <w:rsid w:val="00DD07F1"/>
    <w:rsid w:val="00DD23C1"/>
    <w:rsid w:val="00DD2655"/>
    <w:rsid w:val="00DD2867"/>
    <w:rsid w:val="00DD2B2C"/>
    <w:rsid w:val="00DD2B43"/>
    <w:rsid w:val="00DD5010"/>
    <w:rsid w:val="00DD6742"/>
    <w:rsid w:val="00DD7FF9"/>
    <w:rsid w:val="00DE11F0"/>
    <w:rsid w:val="00DE1DA1"/>
    <w:rsid w:val="00DE38DE"/>
    <w:rsid w:val="00DE3EA5"/>
    <w:rsid w:val="00DE3ED2"/>
    <w:rsid w:val="00DE3FDA"/>
    <w:rsid w:val="00DF0E62"/>
    <w:rsid w:val="00DF20FE"/>
    <w:rsid w:val="00DF434D"/>
    <w:rsid w:val="00E03656"/>
    <w:rsid w:val="00E06C20"/>
    <w:rsid w:val="00E10C7A"/>
    <w:rsid w:val="00E14C20"/>
    <w:rsid w:val="00E1528B"/>
    <w:rsid w:val="00E15AA9"/>
    <w:rsid w:val="00E175BC"/>
    <w:rsid w:val="00E21ADB"/>
    <w:rsid w:val="00E24F59"/>
    <w:rsid w:val="00E266FC"/>
    <w:rsid w:val="00E3097D"/>
    <w:rsid w:val="00E30E0C"/>
    <w:rsid w:val="00E31A78"/>
    <w:rsid w:val="00E32ED5"/>
    <w:rsid w:val="00E34FB0"/>
    <w:rsid w:val="00E42604"/>
    <w:rsid w:val="00E45E5C"/>
    <w:rsid w:val="00E466EE"/>
    <w:rsid w:val="00E473B1"/>
    <w:rsid w:val="00E50841"/>
    <w:rsid w:val="00E52CE7"/>
    <w:rsid w:val="00E539E3"/>
    <w:rsid w:val="00E54FFA"/>
    <w:rsid w:val="00E600A4"/>
    <w:rsid w:val="00E602AD"/>
    <w:rsid w:val="00E6101F"/>
    <w:rsid w:val="00E626E9"/>
    <w:rsid w:val="00E6270A"/>
    <w:rsid w:val="00E64A24"/>
    <w:rsid w:val="00E64DA1"/>
    <w:rsid w:val="00E658E7"/>
    <w:rsid w:val="00E67223"/>
    <w:rsid w:val="00E67D1E"/>
    <w:rsid w:val="00E72844"/>
    <w:rsid w:val="00E72F1A"/>
    <w:rsid w:val="00E739C7"/>
    <w:rsid w:val="00E73EE4"/>
    <w:rsid w:val="00E74946"/>
    <w:rsid w:val="00E74B91"/>
    <w:rsid w:val="00E82120"/>
    <w:rsid w:val="00E8411C"/>
    <w:rsid w:val="00E856DC"/>
    <w:rsid w:val="00E85E75"/>
    <w:rsid w:val="00E86E25"/>
    <w:rsid w:val="00E873E5"/>
    <w:rsid w:val="00E91A90"/>
    <w:rsid w:val="00E9493F"/>
    <w:rsid w:val="00E97470"/>
    <w:rsid w:val="00EA1918"/>
    <w:rsid w:val="00EA1A90"/>
    <w:rsid w:val="00EA2E86"/>
    <w:rsid w:val="00EA318F"/>
    <w:rsid w:val="00EA36BB"/>
    <w:rsid w:val="00EA3F0B"/>
    <w:rsid w:val="00EA7098"/>
    <w:rsid w:val="00EB0CE7"/>
    <w:rsid w:val="00EB0DEE"/>
    <w:rsid w:val="00EC1FD6"/>
    <w:rsid w:val="00EC7E0C"/>
    <w:rsid w:val="00ED00DF"/>
    <w:rsid w:val="00ED3F08"/>
    <w:rsid w:val="00ED3F8D"/>
    <w:rsid w:val="00ED41DC"/>
    <w:rsid w:val="00ED5248"/>
    <w:rsid w:val="00EE0C86"/>
    <w:rsid w:val="00EE0D05"/>
    <w:rsid w:val="00EE1F27"/>
    <w:rsid w:val="00EE2B3F"/>
    <w:rsid w:val="00EE429E"/>
    <w:rsid w:val="00EF34A8"/>
    <w:rsid w:val="00EF662B"/>
    <w:rsid w:val="00EF6E93"/>
    <w:rsid w:val="00EF7295"/>
    <w:rsid w:val="00F03C4B"/>
    <w:rsid w:val="00F06656"/>
    <w:rsid w:val="00F06F5A"/>
    <w:rsid w:val="00F132FA"/>
    <w:rsid w:val="00F13BB8"/>
    <w:rsid w:val="00F17D7C"/>
    <w:rsid w:val="00F22B0E"/>
    <w:rsid w:val="00F23A33"/>
    <w:rsid w:val="00F25359"/>
    <w:rsid w:val="00F2730A"/>
    <w:rsid w:val="00F35F01"/>
    <w:rsid w:val="00F37E82"/>
    <w:rsid w:val="00F40ACC"/>
    <w:rsid w:val="00F419AF"/>
    <w:rsid w:val="00F50342"/>
    <w:rsid w:val="00F518FA"/>
    <w:rsid w:val="00F55CD9"/>
    <w:rsid w:val="00F571B4"/>
    <w:rsid w:val="00F57A92"/>
    <w:rsid w:val="00F62BA7"/>
    <w:rsid w:val="00F63D02"/>
    <w:rsid w:val="00F66430"/>
    <w:rsid w:val="00F70D7D"/>
    <w:rsid w:val="00F71708"/>
    <w:rsid w:val="00F73AFC"/>
    <w:rsid w:val="00F75D63"/>
    <w:rsid w:val="00F7636B"/>
    <w:rsid w:val="00F772A1"/>
    <w:rsid w:val="00F80807"/>
    <w:rsid w:val="00F80D36"/>
    <w:rsid w:val="00F8173A"/>
    <w:rsid w:val="00F82765"/>
    <w:rsid w:val="00F830A3"/>
    <w:rsid w:val="00F85B28"/>
    <w:rsid w:val="00F919E0"/>
    <w:rsid w:val="00F92A8B"/>
    <w:rsid w:val="00F94BE5"/>
    <w:rsid w:val="00FA580D"/>
    <w:rsid w:val="00FA6A9F"/>
    <w:rsid w:val="00FA7EED"/>
    <w:rsid w:val="00FB6749"/>
    <w:rsid w:val="00FB6E61"/>
    <w:rsid w:val="00FC0D69"/>
    <w:rsid w:val="00FC0F17"/>
    <w:rsid w:val="00FC1B88"/>
    <w:rsid w:val="00FC4639"/>
    <w:rsid w:val="00FC509D"/>
    <w:rsid w:val="00FC5A93"/>
    <w:rsid w:val="00FC5FD1"/>
    <w:rsid w:val="00FC6944"/>
    <w:rsid w:val="00FC6E42"/>
    <w:rsid w:val="00FC719E"/>
    <w:rsid w:val="00FC7ABB"/>
    <w:rsid w:val="00FD2E5C"/>
    <w:rsid w:val="00FD3A23"/>
    <w:rsid w:val="00FD4CF6"/>
    <w:rsid w:val="00FD4F5E"/>
    <w:rsid w:val="00FD743C"/>
    <w:rsid w:val="00FE3F07"/>
    <w:rsid w:val="00FE41C7"/>
    <w:rsid w:val="00FE56C5"/>
    <w:rsid w:val="00FE7256"/>
    <w:rsid w:val="00FF05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7B7B6-7D35-49D3-831D-F0A1EEFC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48EE"/>
    <w:pPr>
      <w:keepNext/>
      <w:keepLines/>
      <w:spacing w:before="240"/>
      <w:outlineLvl w:val="0"/>
    </w:pPr>
    <w:rPr>
      <w:rFonts w:ascii="Century Gothic" w:eastAsiaTheme="majorEastAsia" w:hAnsi="Century Gothic" w:cstheme="majorBidi"/>
      <w:color w:val="333300"/>
      <w:sz w:val="32"/>
      <w:szCs w:val="32"/>
    </w:rPr>
  </w:style>
  <w:style w:type="paragraph" w:styleId="Heading2">
    <w:name w:val="heading 2"/>
    <w:basedOn w:val="Normal"/>
    <w:next w:val="Normal"/>
    <w:link w:val="Heading2Char"/>
    <w:uiPriority w:val="9"/>
    <w:unhideWhenUsed/>
    <w:qFormat/>
    <w:rsid w:val="009348EE"/>
    <w:pPr>
      <w:keepNext/>
      <w:keepLines/>
      <w:spacing w:before="40"/>
      <w:ind w:left="567"/>
      <w:outlineLvl w:val="1"/>
    </w:pPr>
    <w:rPr>
      <w:rFonts w:ascii="Century Gothic" w:eastAsiaTheme="majorEastAsia" w:hAnsi="Century Gothic" w:cstheme="majorBidi"/>
      <w:b/>
      <w:color w:val="385623" w:themeColor="accent6" w:themeShade="80"/>
      <w:sz w:val="26"/>
      <w:szCs w:val="26"/>
    </w:rPr>
  </w:style>
  <w:style w:type="paragraph" w:styleId="Heading3">
    <w:name w:val="heading 3"/>
    <w:basedOn w:val="Normal"/>
    <w:next w:val="Normal"/>
    <w:link w:val="Heading3Char"/>
    <w:uiPriority w:val="9"/>
    <w:unhideWhenUsed/>
    <w:qFormat/>
    <w:rsid w:val="009348EE"/>
    <w:pPr>
      <w:keepNext/>
      <w:keepLines/>
      <w:spacing w:before="40"/>
      <w:outlineLvl w:val="2"/>
    </w:pPr>
    <w:rPr>
      <w:rFonts w:asciiTheme="majorHAnsi" w:eastAsiaTheme="majorEastAsia" w:hAnsiTheme="majorHAnsi" w:cstheme="majorBidi"/>
      <w:color w:val="C00000"/>
      <w:sz w:val="24"/>
      <w:szCs w:val="24"/>
    </w:rPr>
  </w:style>
  <w:style w:type="paragraph" w:styleId="Heading5">
    <w:name w:val="heading 5"/>
    <w:basedOn w:val="Normal"/>
    <w:next w:val="Normal"/>
    <w:link w:val="Heading5Char"/>
    <w:uiPriority w:val="9"/>
    <w:unhideWhenUsed/>
    <w:qFormat/>
    <w:rsid w:val="00B6725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8EE"/>
    <w:rPr>
      <w:rFonts w:ascii="Century Gothic" w:eastAsiaTheme="majorEastAsia" w:hAnsi="Century Gothic" w:cstheme="majorBidi"/>
      <w:color w:val="333300"/>
      <w:sz w:val="32"/>
      <w:szCs w:val="32"/>
    </w:rPr>
  </w:style>
  <w:style w:type="character" w:customStyle="1" w:styleId="Heading2Char">
    <w:name w:val="Heading 2 Char"/>
    <w:basedOn w:val="DefaultParagraphFont"/>
    <w:link w:val="Heading2"/>
    <w:uiPriority w:val="9"/>
    <w:rsid w:val="009348EE"/>
    <w:rPr>
      <w:rFonts w:ascii="Century Gothic" w:eastAsiaTheme="majorEastAsia" w:hAnsi="Century Gothic" w:cstheme="majorBidi"/>
      <w:b/>
      <w:color w:val="385623" w:themeColor="accent6" w:themeShade="80"/>
      <w:sz w:val="26"/>
      <w:szCs w:val="26"/>
    </w:rPr>
  </w:style>
  <w:style w:type="character" w:customStyle="1" w:styleId="Heading3Char">
    <w:name w:val="Heading 3 Char"/>
    <w:basedOn w:val="DefaultParagraphFont"/>
    <w:link w:val="Heading3"/>
    <w:uiPriority w:val="9"/>
    <w:rsid w:val="009348EE"/>
    <w:rPr>
      <w:rFonts w:asciiTheme="majorHAnsi" w:eastAsiaTheme="majorEastAsia" w:hAnsiTheme="majorHAnsi" w:cstheme="majorBidi"/>
      <w:color w:val="C00000"/>
      <w:sz w:val="24"/>
      <w:szCs w:val="24"/>
    </w:rPr>
  </w:style>
  <w:style w:type="paragraph" w:styleId="ListParagraph">
    <w:name w:val="List Paragraph"/>
    <w:basedOn w:val="Normal"/>
    <w:uiPriority w:val="34"/>
    <w:qFormat/>
    <w:rsid w:val="002A6D91"/>
    <w:pPr>
      <w:ind w:left="720"/>
      <w:contextualSpacing/>
    </w:pPr>
    <w:rPr>
      <w:rFonts w:eastAsia="Times New Roman" w:cs="Times New Roman"/>
      <w:szCs w:val="20"/>
    </w:rPr>
  </w:style>
  <w:style w:type="paragraph" w:customStyle="1" w:styleId="Default">
    <w:name w:val="Default"/>
    <w:uiPriority w:val="99"/>
    <w:rsid w:val="008A2A9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A81EFF"/>
    <w:rPr>
      <w:color w:val="0563C1" w:themeColor="hyperlink"/>
      <w:u w:val="single"/>
    </w:rPr>
  </w:style>
  <w:style w:type="table" w:styleId="TableGrid">
    <w:name w:val="Table Grid"/>
    <w:basedOn w:val="TableNormal"/>
    <w:uiPriority w:val="59"/>
    <w:rsid w:val="000E3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5F00"/>
    <w:pPr>
      <w:spacing w:before="100" w:beforeAutospacing="1" w:after="100" w:afterAutospacing="1"/>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907364"/>
    <w:pPr>
      <w:ind w:left="720" w:hanging="720"/>
    </w:pPr>
    <w:rPr>
      <w:rFonts w:ascii="Arial" w:eastAsia="Times New Roman" w:hAnsi="Arial" w:cs="Times New Roman"/>
      <w:sz w:val="18"/>
      <w:szCs w:val="20"/>
      <w:lang w:val="en-GB"/>
    </w:rPr>
  </w:style>
  <w:style w:type="character" w:customStyle="1" w:styleId="FootnoteTextChar">
    <w:name w:val="Footnote Text Char"/>
    <w:basedOn w:val="DefaultParagraphFont"/>
    <w:link w:val="FootnoteText"/>
    <w:uiPriority w:val="99"/>
    <w:semiHidden/>
    <w:rsid w:val="00907364"/>
    <w:rPr>
      <w:rFonts w:ascii="Arial" w:eastAsia="Times New Roman" w:hAnsi="Arial" w:cs="Times New Roman"/>
      <w:sz w:val="18"/>
      <w:szCs w:val="20"/>
      <w:lang w:val="en-GB"/>
    </w:rPr>
  </w:style>
  <w:style w:type="character" w:styleId="FootnoteReference">
    <w:name w:val="footnote reference"/>
    <w:uiPriority w:val="99"/>
    <w:semiHidden/>
    <w:unhideWhenUsed/>
    <w:rsid w:val="00907364"/>
    <w:rPr>
      <w:vertAlign w:val="superscript"/>
    </w:rPr>
  </w:style>
  <w:style w:type="paragraph" w:customStyle="1" w:styleId="SP">
    <w:name w:val="SP"/>
    <w:rsid w:val="00907364"/>
    <w:pPr>
      <w:tabs>
        <w:tab w:val="left" w:pos="1134"/>
      </w:tabs>
      <w:spacing w:after="360" w:line="360" w:lineRule="atLeast"/>
      <w:ind w:left="1134" w:hanging="1134"/>
      <w:jc w:val="both"/>
    </w:pPr>
    <w:rPr>
      <w:rFonts w:ascii="Arial" w:eastAsia="Times New Roman" w:hAnsi="Arial" w:cs="Times New Roman"/>
      <w:sz w:val="20"/>
      <w:szCs w:val="20"/>
      <w:lang w:val="en-GB"/>
    </w:rPr>
  </w:style>
  <w:style w:type="character" w:customStyle="1" w:styleId="apple-converted-space">
    <w:name w:val="apple-converted-space"/>
    <w:basedOn w:val="DefaultParagraphFont"/>
    <w:rsid w:val="00484604"/>
  </w:style>
  <w:style w:type="character" w:customStyle="1" w:styleId="mw-headline">
    <w:name w:val="mw-headline"/>
    <w:basedOn w:val="DefaultParagraphFont"/>
    <w:rsid w:val="00484604"/>
  </w:style>
  <w:style w:type="character" w:customStyle="1" w:styleId="mw-editsection">
    <w:name w:val="mw-editsection"/>
    <w:basedOn w:val="DefaultParagraphFont"/>
    <w:rsid w:val="00484604"/>
  </w:style>
  <w:style w:type="character" w:customStyle="1" w:styleId="mw-editsection-bracket">
    <w:name w:val="mw-editsection-bracket"/>
    <w:basedOn w:val="DefaultParagraphFont"/>
    <w:rsid w:val="00484604"/>
  </w:style>
  <w:style w:type="character" w:customStyle="1" w:styleId="Heading5Char">
    <w:name w:val="Heading 5 Char"/>
    <w:basedOn w:val="DefaultParagraphFont"/>
    <w:link w:val="Heading5"/>
    <w:uiPriority w:val="9"/>
    <w:rsid w:val="00B6725F"/>
    <w:rPr>
      <w:rFonts w:asciiTheme="majorHAnsi" w:eastAsiaTheme="majorEastAsia" w:hAnsiTheme="majorHAnsi" w:cstheme="majorBidi"/>
      <w:color w:val="2E74B5" w:themeColor="accent1" w:themeShade="BF"/>
    </w:rPr>
  </w:style>
  <w:style w:type="character" w:customStyle="1" w:styleId="label">
    <w:name w:val="label"/>
    <w:basedOn w:val="DefaultParagraphFont"/>
    <w:rsid w:val="00B6725F"/>
  </w:style>
  <w:style w:type="paragraph" w:customStyle="1" w:styleId="subprov">
    <w:name w:val="subprov"/>
    <w:basedOn w:val="Normal"/>
    <w:rsid w:val="00B6725F"/>
    <w:pPr>
      <w:spacing w:before="100" w:beforeAutospacing="1" w:after="100" w:afterAutospacing="1"/>
    </w:pPr>
    <w:rPr>
      <w:rFonts w:ascii="Times New Roman" w:eastAsia="Times New Roman" w:hAnsi="Times New Roman" w:cs="Times New Roman"/>
      <w:sz w:val="24"/>
      <w:szCs w:val="24"/>
      <w:lang w:eastAsia="en-NZ"/>
    </w:rPr>
  </w:style>
  <w:style w:type="paragraph" w:customStyle="1" w:styleId="text">
    <w:name w:val="text"/>
    <w:basedOn w:val="Normal"/>
    <w:rsid w:val="00B6725F"/>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insertwords">
    <w:name w:val="insertwords"/>
    <w:basedOn w:val="DefaultParagraphFont"/>
    <w:rsid w:val="00B6725F"/>
  </w:style>
  <w:style w:type="paragraph" w:styleId="Header">
    <w:name w:val="header"/>
    <w:basedOn w:val="Normal"/>
    <w:link w:val="HeaderChar"/>
    <w:uiPriority w:val="99"/>
    <w:unhideWhenUsed/>
    <w:rsid w:val="00873893"/>
    <w:pPr>
      <w:tabs>
        <w:tab w:val="center" w:pos="4513"/>
        <w:tab w:val="right" w:pos="9026"/>
      </w:tabs>
    </w:pPr>
  </w:style>
  <w:style w:type="character" w:customStyle="1" w:styleId="HeaderChar">
    <w:name w:val="Header Char"/>
    <w:basedOn w:val="DefaultParagraphFont"/>
    <w:link w:val="Header"/>
    <w:uiPriority w:val="99"/>
    <w:rsid w:val="00873893"/>
  </w:style>
  <w:style w:type="paragraph" w:styleId="Footer">
    <w:name w:val="footer"/>
    <w:basedOn w:val="Normal"/>
    <w:link w:val="FooterChar"/>
    <w:uiPriority w:val="99"/>
    <w:unhideWhenUsed/>
    <w:rsid w:val="00873893"/>
    <w:pPr>
      <w:tabs>
        <w:tab w:val="center" w:pos="4513"/>
        <w:tab w:val="right" w:pos="9026"/>
      </w:tabs>
    </w:pPr>
  </w:style>
  <w:style w:type="character" w:customStyle="1" w:styleId="FooterChar">
    <w:name w:val="Footer Char"/>
    <w:basedOn w:val="DefaultParagraphFont"/>
    <w:link w:val="Footer"/>
    <w:uiPriority w:val="99"/>
    <w:rsid w:val="00873893"/>
  </w:style>
  <w:style w:type="paragraph" w:styleId="BalloonText">
    <w:name w:val="Balloon Text"/>
    <w:basedOn w:val="Normal"/>
    <w:link w:val="BalloonTextChar"/>
    <w:uiPriority w:val="99"/>
    <w:semiHidden/>
    <w:unhideWhenUsed/>
    <w:rsid w:val="00873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893"/>
    <w:rPr>
      <w:rFonts w:ascii="Segoe UI" w:hAnsi="Segoe UI" w:cs="Segoe UI"/>
      <w:sz w:val="18"/>
      <w:szCs w:val="18"/>
    </w:rPr>
  </w:style>
  <w:style w:type="character" w:styleId="FollowedHyperlink">
    <w:name w:val="FollowedHyperlink"/>
    <w:basedOn w:val="DefaultParagraphFont"/>
    <w:uiPriority w:val="99"/>
    <w:semiHidden/>
    <w:unhideWhenUsed/>
    <w:rsid w:val="001C5361"/>
    <w:rPr>
      <w:color w:val="954F72" w:themeColor="followedHyperlink"/>
      <w:u w:val="single"/>
    </w:rPr>
  </w:style>
  <w:style w:type="paragraph" w:styleId="TOCHeading">
    <w:name w:val="TOC Heading"/>
    <w:basedOn w:val="Heading1"/>
    <w:next w:val="Normal"/>
    <w:uiPriority w:val="39"/>
    <w:unhideWhenUsed/>
    <w:qFormat/>
    <w:rsid w:val="007B0CD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7B0CD6"/>
    <w:pPr>
      <w:spacing w:after="100"/>
    </w:pPr>
  </w:style>
  <w:style w:type="paragraph" w:styleId="TOC3">
    <w:name w:val="toc 3"/>
    <w:basedOn w:val="Normal"/>
    <w:next w:val="Normal"/>
    <w:autoRedefine/>
    <w:uiPriority w:val="39"/>
    <w:unhideWhenUsed/>
    <w:rsid w:val="007B0CD6"/>
    <w:pPr>
      <w:spacing w:after="100"/>
      <w:ind w:left="440"/>
    </w:pPr>
  </w:style>
  <w:style w:type="paragraph" w:styleId="TOC2">
    <w:name w:val="toc 2"/>
    <w:basedOn w:val="Normal"/>
    <w:next w:val="Normal"/>
    <w:autoRedefine/>
    <w:uiPriority w:val="39"/>
    <w:unhideWhenUsed/>
    <w:rsid w:val="007B0CD6"/>
    <w:pPr>
      <w:spacing w:after="100"/>
      <w:ind w:left="220"/>
    </w:pPr>
  </w:style>
  <w:style w:type="character" w:customStyle="1" w:styleId="addmd">
    <w:name w:val="addmd"/>
    <w:basedOn w:val="DefaultParagraphFont"/>
    <w:rsid w:val="00767DBF"/>
  </w:style>
  <w:style w:type="paragraph" w:customStyle="1" w:styleId="Pa8">
    <w:name w:val="Pa8"/>
    <w:basedOn w:val="Default"/>
    <w:next w:val="Default"/>
    <w:uiPriority w:val="99"/>
    <w:rsid w:val="004235CB"/>
    <w:pPr>
      <w:spacing w:line="241" w:lineRule="atLeast"/>
    </w:pPr>
    <w:rPr>
      <w:rFonts w:ascii="Minion Pro" w:hAnsi="Minion Pro" w:cstheme="minorBidi"/>
      <w:color w:val="auto"/>
    </w:rPr>
  </w:style>
  <w:style w:type="character" w:customStyle="1" w:styleId="A5">
    <w:name w:val="A5"/>
    <w:uiPriority w:val="99"/>
    <w:rsid w:val="004235CB"/>
    <w:rPr>
      <w:rFonts w:cs="Minion Pro"/>
      <w:color w:val="000000"/>
      <w:sz w:val="20"/>
      <w:szCs w:val="20"/>
    </w:rPr>
  </w:style>
  <w:style w:type="paragraph" w:customStyle="1" w:styleId="Pa23">
    <w:name w:val="Pa23"/>
    <w:basedOn w:val="Default"/>
    <w:next w:val="Default"/>
    <w:uiPriority w:val="99"/>
    <w:rsid w:val="004235CB"/>
    <w:pPr>
      <w:spacing w:line="241" w:lineRule="atLeast"/>
    </w:pPr>
    <w:rPr>
      <w:rFonts w:ascii="Minion Pro SmBd" w:hAnsi="Minion Pro SmBd" w:cstheme="minorBidi"/>
      <w:color w:val="auto"/>
    </w:rPr>
  </w:style>
  <w:style w:type="paragraph" w:customStyle="1" w:styleId="Pa28">
    <w:name w:val="Pa28"/>
    <w:basedOn w:val="Default"/>
    <w:next w:val="Default"/>
    <w:uiPriority w:val="99"/>
    <w:rsid w:val="004235CB"/>
    <w:pPr>
      <w:spacing w:line="221" w:lineRule="atLeast"/>
    </w:pPr>
    <w:rPr>
      <w:rFonts w:ascii="Minion Pro SmBd" w:hAnsi="Minion Pro SmBd" w:cstheme="minorBidi"/>
      <w:color w:val="auto"/>
    </w:rPr>
  </w:style>
  <w:style w:type="paragraph" w:customStyle="1" w:styleId="Pa21">
    <w:name w:val="Pa21"/>
    <w:basedOn w:val="Default"/>
    <w:next w:val="Default"/>
    <w:uiPriority w:val="99"/>
    <w:rsid w:val="004235CB"/>
    <w:pPr>
      <w:spacing w:line="201" w:lineRule="atLeast"/>
    </w:pPr>
    <w:rPr>
      <w:rFonts w:ascii="Minion Pro SmBd" w:hAnsi="Minion Pro SmBd" w:cstheme="minorBidi"/>
      <w:color w:val="auto"/>
    </w:rPr>
  </w:style>
  <w:style w:type="character" w:customStyle="1" w:styleId="A6">
    <w:name w:val="A6"/>
    <w:uiPriority w:val="99"/>
    <w:rsid w:val="004235CB"/>
    <w:rPr>
      <w:rFonts w:ascii="Minion Pro" w:hAnsi="Minion Pro" w:cs="Minion Pro"/>
      <w:color w:val="000000"/>
      <w:sz w:val="20"/>
      <w:szCs w:val="20"/>
    </w:rPr>
  </w:style>
  <w:style w:type="paragraph" w:customStyle="1" w:styleId="Pa9">
    <w:name w:val="Pa9"/>
    <w:basedOn w:val="Default"/>
    <w:next w:val="Default"/>
    <w:uiPriority w:val="99"/>
    <w:rsid w:val="004235CB"/>
    <w:pPr>
      <w:spacing w:line="221" w:lineRule="atLeast"/>
    </w:pPr>
    <w:rPr>
      <w:rFonts w:ascii="Minion Pro" w:hAnsi="Minion Pro" w:cstheme="minorBidi"/>
      <w:color w:val="auto"/>
    </w:rPr>
  </w:style>
  <w:style w:type="character" w:customStyle="1" w:styleId="A2">
    <w:name w:val="A2"/>
    <w:uiPriority w:val="99"/>
    <w:rsid w:val="004235CB"/>
    <w:rPr>
      <w:rFonts w:cs="Minion Pro"/>
      <w:b/>
      <w:bCs/>
      <w:color w:val="000000"/>
    </w:rPr>
  </w:style>
  <w:style w:type="character" w:styleId="CommentReference">
    <w:name w:val="annotation reference"/>
    <w:basedOn w:val="DefaultParagraphFont"/>
    <w:uiPriority w:val="99"/>
    <w:semiHidden/>
    <w:unhideWhenUsed/>
    <w:rsid w:val="00664784"/>
    <w:rPr>
      <w:sz w:val="16"/>
      <w:szCs w:val="16"/>
    </w:rPr>
  </w:style>
  <w:style w:type="paragraph" w:styleId="CommentText">
    <w:name w:val="annotation text"/>
    <w:basedOn w:val="Normal"/>
    <w:link w:val="CommentTextChar"/>
    <w:uiPriority w:val="99"/>
    <w:unhideWhenUsed/>
    <w:rsid w:val="00664784"/>
    <w:rPr>
      <w:sz w:val="20"/>
      <w:szCs w:val="20"/>
    </w:rPr>
  </w:style>
  <w:style w:type="character" w:customStyle="1" w:styleId="CommentTextChar">
    <w:name w:val="Comment Text Char"/>
    <w:basedOn w:val="DefaultParagraphFont"/>
    <w:link w:val="CommentText"/>
    <w:uiPriority w:val="99"/>
    <w:rsid w:val="00664784"/>
    <w:rPr>
      <w:sz w:val="20"/>
      <w:szCs w:val="20"/>
    </w:rPr>
  </w:style>
  <w:style w:type="paragraph" w:styleId="EndnoteText">
    <w:name w:val="endnote text"/>
    <w:basedOn w:val="Normal"/>
    <w:link w:val="EndnoteTextChar"/>
    <w:uiPriority w:val="99"/>
    <w:unhideWhenUsed/>
    <w:rsid w:val="003D5863"/>
    <w:rPr>
      <w:sz w:val="20"/>
      <w:szCs w:val="20"/>
    </w:rPr>
  </w:style>
  <w:style w:type="character" w:customStyle="1" w:styleId="EndnoteTextChar">
    <w:name w:val="Endnote Text Char"/>
    <w:basedOn w:val="DefaultParagraphFont"/>
    <w:link w:val="EndnoteText"/>
    <w:uiPriority w:val="99"/>
    <w:rsid w:val="003D58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0440">
      <w:bodyDiv w:val="1"/>
      <w:marLeft w:val="0"/>
      <w:marRight w:val="0"/>
      <w:marTop w:val="0"/>
      <w:marBottom w:val="0"/>
      <w:divBdr>
        <w:top w:val="none" w:sz="0" w:space="0" w:color="auto"/>
        <w:left w:val="none" w:sz="0" w:space="0" w:color="auto"/>
        <w:bottom w:val="none" w:sz="0" w:space="0" w:color="auto"/>
        <w:right w:val="none" w:sz="0" w:space="0" w:color="auto"/>
      </w:divBdr>
    </w:div>
    <w:div w:id="225603837">
      <w:bodyDiv w:val="1"/>
      <w:marLeft w:val="0"/>
      <w:marRight w:val="0"/>
      <w:marTop w:val="0"/>
      <w:marBottom w:val="0"/>
      <w:divBdr>
        <w:top w:val="none" w:sz="0" w:space="0" w:color="auto"/>
        <w:left w:val="none" w:sz="0" w:space="0" w:color="auto"/>
        <w:bottom w:val="none" w:sz="0" w:space="0" w:color="auto"/>
        <w:right w:val="none" w:sz="0" w:space="0" w:color="auto"/>
      </w:divBdr>
    </w:div>
    <w:div w:id="227113816">
      <w:bodyDiv w:val="1"/>
      <w:marLeft w:val="0"/>
      <w:marRight w:val="0"/>
      <w:marTop w:val="0"/>
      <w:marBottom w:val="0"/>
      <w:divBdr>
        <w:top w:val="none" w:sz="0" w:space="0" w:color="auto"/>
        <w:left w:val="none" w:sz="0" w:space="0" w:color="auto"/>
        <w:bottom w:val="none" w:sz="0" w:space="0" w:color="auto"/>
        <w:right w:val="none" w:sz="0" w:space="0" w:color="auto"/>
      </w:divBdr>
    </w:div>
    <w:div w:id="309746080">
      <w:bodyDiv w:val="1"/>
      <w:marLeft w:val="0"/>
      <w:marRight w:val="0"/>
      <w:marTop w:val="0"/>
      <w:marBottom w:val="0"/>
      <w:divBdr>
        <w:top w:val="none" w:sz="0" w:space="0" w:color="auto"/>
        <w:left w:val="none" w:sz="0" w:space="0" w:color="auto"/>
        <w:bottom w:val="none" w:sz="0" w:space="0" w:color="auto"/>
        <w:right w:val="none" w:sz="0" w:space="0" w:color="auto"/>
      </w:divBdr>
    </w:div>
    <w:div w:id="313488698">
      <w:bodyDiv w:val="1"/>
      <w:marLeft w:val="0"/>
      <w:marRight w:val="0"/>
      <w:marTop w:val="0"/>
      <w:marBottom w:val="0"/>
      <w:divBdr>
        <w:top w:val="none" w:sz="0" w:space="0" w:color="auto"/>
        <w:left w:val="none" w:sz="0" w:space="0" w:color="auto"/>
        <w:bottom w:val="none" w:sz="0" w:space="0" w:color="auto"/>
        <w:right w:val="none" w:sz="0" w:space="0" w:color="auto"/>
      </w:divBdr>
    </w:div>
    <w:div w:id="314338080">
      <w:bodyDiv w:val="1"/>
      <w:marLeft w:val="0"/>
      <w:marRight w:val="0"/>
      <w:marTop w:val="0"/>
      <w:marBottom w:val="0"/>
      <w:divBdr>
        <w:top w:val="none" w:sz="0" w:space="0" w:color="auto"/>
        <w:left w:val="none" w:sz="0" w:space="0" w:color="auto"/>
        <w:bottom w:val="none" w:sz="0" w:space="0" w:color="auto"/>
        <w:right w:val="none" w:sz="0" w:space="0" w:color="auto"/>
      </w:divBdr>
    </w:div>
    <w:div w:id="316882035">
      <w:bodyDiv w:val="1"/>
      <w:marLeft w:val="0"/>
      <w:marRight w:val="0"/>
      <w:marTop w:val="0"/>
      <w:marBottom w:val="0"/>
      <w:divBdr>
        <w:top w:val="none" w:sz="0" w:space="0" w:color="auto"/>
        <w:left w:val="none" w:sz="0" w:space="0" w:color="auto"/>
        <w:bottom w:val="none" w:sz="0" w:space="0" w:color="auto"/>
        <w:right w:val="none" w:sz="0" w:space="0" w:color="auto"/>
      </w:divBdr>
    </w:div>
    <w:div w:id="491798468">
      <w:bodyDiv w:val="1"/>
      <w:marLeft w:val="0"/>
      <w:marRight w:val="0"/>
      <w:marTop w:val="0"/>
      <w:marBottom w:val="0"/>
      <w:divBdr>
        <w:top w:val="none" w:sz="0" w:space="0" w:color="auto"/>
        <w:left w:val="none" w:sz="0" w:space="0" w:color="auto"/>
        <w:bottom w:val="none" w:sz="0" w:space="0" w:color="auto"/>
        <w:right w:val="none" w:sz="0" w:space="0" w:color="auto"/>
      </w:divBdr>
    </w:div>
    <w:div w:id="539902360">
      <w:bodyDiv w:val="1"/>
      <w:marLeft w:val="0"/>
      <w:marRight w:val="0"/>
      <w:marTop w:val="0"/>
      <w:marBottom w:val="0"/>
      <w:divBdr>
        <w:top w:val="none" w:sz="0" w:space="0" w:color="auto"/>
        <w:left w:val="none" w:sz="0" w:space="0" w:color="auto"/>
        <w:bottom w:val="none" w:sz="0" w:space="0" w:color="auto"/>
        <w:right w:val="none" w:sz="0" w:space="0" w:color="auto"/>
      </w:divBdr>
    </w:div>
    <w:div w:id="672418404">
      <w:bodyDiv w:val="1"/>
      <w:marLeft w:val="0"/>
      <w:marRight w:val="0"/>
      <w:marTop w:val="0"/>
      <w:marBottom w:val="0"/>
      <w:divBdr>
        <w:top w:val="none" w:sz="0" w:space="0" w:color="auto"/>
        <w:left w:val="none" w:sz="0" w:space="0" w:color="auto"/>
        <w:bottom w:val="none" w:sz="0" w:space="0" w:color="auto"/>
        <w:right w:val="none" w:sz="0" w:space="0" w:color="auto"/>
      </w:divBdr>
    </w:div>
    <w:div w:id="722142664">
      <w:bodyDiv w:val="1"/>
      <w:marLeft w:val="0"/>
      <w:marRight w:val="0"/>
      <w:marTop w:val="0"/>
      <w:marBottom w:val="0"/>
      <w:divBdr>
        <w:top w:val="none" w:sz="0" w:space="0" w:color="auto"/>
        <w:left w:val="none" w:sz="0" w:space="0" w:color="auto"/>
        <w:bottom w:val="none" w:sz="0" w:space="0" w:color="auto"/>
        <w:right w:val="none" w:sz="0" w:space="0" w:color="auto"/>
      </w:divBdr>
    </w:div>
    <w:div w:id="726029338">
      <w:bodyDiv w:val="1"/>
      <w:marLeft w:val="0"/>
      <w:marRight w:val="0"/>
      <w:marTop w:val="0"/>
      <w:marBottom w:val="0"/>
      <w:divBdr>
        <w:top w:val="none" w:sz="0" w:space="0" w:color="auto"/>
        <w:left w:val="none" w:sz="0" w:space="0" w:color="auto"/>
        <w:bottom w:val="none" w:sz="0" w:space="0" w:color="auto"/>
        <w:right w:val="none" w:sz="0" w:space="0" w:color="auto"/>
      </w:divBdr>
    </w:div>
    <w:div w:id="835342432">
      <w:bodyDiv w:val="1"/>
      <w:marLeft w:val="0"/>
      <w:marRight w:val="0"/>
      <w:marTop w:val="0"/>
      <w:marBottom w:val="0"/>
      <w:divBdr>
        <w:top w:val="none" w:sz="0" w:space="0" w:color="auto"/>
        <w:left w:val="none" w:sz="0" w:space="0" w:color="auto"/>
        <w:bottom w:val="none" w:sz="0" w:space="0" w:color="auto"/>
        <w:right w:val="none" w:sz="0" w:space="0" w:color="auto"/>
      </w:divBdr>
    </w:div>
    <w:div w:id="853611959">
      <w:bodyDiv w:val="1"/>
      <w:marLeft w:val="0"/>
      <w:marRight w:val="0"/>
      <w:marTop w:val="0"/>
      <w:marBottom w:val="0"/>
      <w:divBdr>
        <w:top w:val="none" w:sz="0" w:space="0" w:color="auto"/>
        <w:left w:val="none" w:sz="0" w:space="0" w:color="auto"/>
        <w:bottom w:val="none" w:sz="0" w:space="0" w:color="auto"/>
        <w:right w:val="none" w:sz="0" w:space="0" w:color="auto"/>
      </w:divBdr>
    </w:div>
    <w:div w:id="898250086">
      <w:bodyDiv w:val="1"/>
      <w:marLeft w:val="0"/>
      <w:marRight w:val="0"/>
      <w:marTop w:val="0"/>
      <w:marBottom w:val="0"/>
      <w:divBdr>
        <w:top w:val="none" w:sz="0" w:space="0" w:color="auto"/>
        <w:left w:val="none" w:sz="0" w:space="0" w:color="auto"/>
        <w:bottom w:val="none" w:sz="0" w:space="0" w:color="auto"/>
        <w:right w:val="none" w:sz="0" w:space="0" w:color="auto"/>
      </w:divBdr>
    </w:div>
    <w:div w:id="933132891">
      <w:bodyDiv w:val="1"/>
      <w:marLeft w:val="0"/>
      <w:marRight w:val="0"/>
      <w:marTop w:val="0"/>
      <w:marBottom w:val="0"/>
      <w:divBdr>
        <w:top w:val="none" w:sz="0" w:space="0" w:color="auto"/>
        <w:left w:val="none" w:sz="0" w:space="0" w:color="auto"/>
        <w:bottom w:val="none" w:sz="0" w:space="0" w:color="auto"/>
        <w:right w:val="none" w:sz="0" w:space="0" w:color="auto"/>
      </w:divBdr>
      <w:divsChild>
        <w:div w:id="484012466">
          <w:marLeft w:val="0"/>
          <w:marRight w:val="0"/>
          <w:marTop w:val="83"/>
          <w:marBottom w:val="0"/>
          <w:divBdr>
            <w:top w:val="none" w:sz="0" w:space="0" w:color="auto"/>
            <w:left w:val="none" w:sz="0" w:space="0" w:color="auto"/>
            <w:bottom w:val="none" w:sz="0" w:space="0" w:color="auto"/>
            <w:right w:val="none" w:sz="0" w:space="0" w:color="auto"/>
          </w:divBdr>
          <w:divsChild>
            <w:div w:id="307396064">
              <w:marLeft w:val="0"/>
              <w:marRight w:val="0"/>
              <w:marTop w:val="83"/>
              <w:marBottom w:val="0"/>
              <w:divBdr>
                <w:top w:val="none" w:sz="0" w:space="0" w:color="auto"/>
                <w:left w:val="none" w:sz="0" w:space="0" w:color="auto"/>
                <w:bottom w:val="none" w:sz="0" w:space="0" w:color="auto"/>
                <w:right w:val="none" w:sz="0" w:space="0" w:color="auto"/>
              </w:divBdr>
            </w:div>
            <w:div w:id="482239401">
              <w:marLeft w:val="0"/>
              <w:marRight w:val="0"/>
              <w:marTop w:val="83"/>
              <w:marBottom w:val="0"/>
              <w:divBdr>
                <w:top w:val="none" w:sz="0" w:space="0" w:color="auto"/>
                <w:left w:val="none" w:sz="0" w:space="0" w:color="auto"/>
                <w:bottom w:val="none" w:sz="0" w:space="0" w:color="auto"/>
                <w:right w:val="none" w:sz="0" w:space="0" w:color="auto"/>
              </w:divBdr>
            </w:div>
            <w:div w:id="1604192052">
              <w:marLeft w:val="0"/>
              <w:marRight w:val="0"/>
              <w:marTop w:val="83"/>
              <w:marBottom w:val="0"/>
              <w:divBdr>
                <w:top w:val="none" w:sz="0" w:space="0" w:color="auto"/>
                <w:left w:val="none" w:sz="0" w:space="0" w:color="auto"/>
                <w:bottom w:val="none" w:sz="0" w:space="0" w:color="auto"/>
                <w:right w:val="none" w:sz="0" w:space="0" w:color="auto"/>
              </w:divBdr>
            </w:div>
            <w:div w:id="1402144799">
              <w:marLeft w:val="0"/>
              <w:marRight w:val="0"/>
              <w:marTop w:val="83"/>
              <w:marBottom w:val="0"/>
              <w:divBdr>
                <w:top w:val="none" w:sz="0" w:space="0" w:color="auto"/>
                <w:left w:val="none" w:sz="0" w:space="0" w:color="auto"/>
                <w:bottom w:val="none" w:sz="0" w:space="0" w:color="auto"/>
                <w:right w:val="none" w:sz="0" w:space="0" w:color="auto"/>
              </w:divBdr>
            </w:div>
          </w:divsChild>
        </w:div>
        <w:div w:id="1595282741">
          <w:marLeft w:val="0"/>
          <w:marRight w:val="0"/>
          <w:marTop w:val="83"/>
          <w:marBottom w:val="0"/>
          <w:divBdr>
            <w:top w:val="none" w:sz="0" w:space="0" w:color="auto"/>
            <w:left w:val="none" w:sz="0" w:space="0" w:color="auto"/>
            <w:bottom w:val="none" w:sz="0" w:space="0" w:color="auto"/>
            <w:right w:val="none" w:sz="0" w:space="0" w:color="auto"/>
          </w:divBdr>
          <w:divsChild>
            <w:div w:id="1635480318">
              <w:marLeft w:val="0"/>
              <w:marRight w:val="0"/>
              <w:marTop w:val="83"/>
              <w:marBottom w:val="0"/>
              <w:divBdr>
                <w:top w:val="none" w:sz="0" w:space="0" w:color="auto"/>
                <w:left w:val="none" w:sz="0" w:space="0" w:color="auto"/>
                <w:bottom w:val="none" w:sz="0" w:space="0" w:color="auto"/>
                <w:right w:val="none" w:sz="0" w:space="0" w:color="auto"/>
              </w:divBdr>
            </w:div>
            <w:div w:id="643433778">
              <w:marLeft w:val="0"/>
              <w:marRight w:val="0"/>
              <w:marTop w:val="83"/>
              <w:marBottom w:val="0"/>
              <w:divBdr>
                <w:top w:val="none" w:sz="0" w:space="0" w:color="auto"/>
                <w:left w:val="none" w:sz="0" w:space="0" w:color="auto"/>
                <w:bottom w:val="none" w:sz="0" w:space="0" w:color="auto"/>
                <w:right w:val="none" w:sz="0" w:space="0" w:color="auto"/>
              </w:divBdr>
            </w:div>
          </w:divsChild>
        </w:div>
        <w:div w:id="260768289">
          <w:marLeft w:val="0"/>
          <w:marRight w:val="0"/>
          <w:marTop w:val="83"/>
          <w:marBottom w:val="0"/>
          <w:divBdr>
            <w:top w:val="none" w:sz="0" w:space="0" w:color="auto"/>
            <w:left w:val="none" w:sz="0" w:space="0" w:color="auto"/>
            <w:bottom w:val="none" w:sz="0" w:space="0" w:color="auto"/>
            <w:right w:val="none" w:sz="0" w:space="0" w:color="auto"/>
          </w:divBdr>
          <w:divsChild>
            <w:div w:id="539052076">
              <w:marLeft w:val="0"/>
              <w:marRight w:val="0"/>
              <w:marTop w:val="83"/>
              <w:marBottom w:val="0"/>
              <w:divBdr>
                <w:top w:val="none" w:sz="0" w:space="0" w:color="auto"/>
                <w:left w:val="none" w:sz="0" w:space="0" w:color="auto"/>
                <w:bottom w:val="none" w:sz="0" w:space="0" w:color="auto"/>
                <w:right w:val="none" w:sz="0" w:space="0" w:color="auto"/>
              </w:divBdr>
            </w:div>
            <w:div w:id="1880778306">
              <w:marLeft w:val="0"/>
              <w:marRight w:val="0"/>
              <w:marTop w:val="83"/>
              <w:marBottom w:val="0"/>
              <w:divBdr>
                <w:top w:val="none" w:sz="0" w:space="0" w:color="auto"/>
                <w:left w:val="none" w:sz="0" w:space="0" w:color="auto"/>
                <w:bottom w:val="none" w:sz="0" w:space="0" w:color="auto"/>
                <w:right w:val="none" w:sz="0" w:space="0" w:color="auto"/>
              </w:divBdr>
            </w:div>
            <w:div w:id="235482763">
              <w:marLeft w:val="0"/>
              <w:marRight w:val="0"/>
              <w:marTop w:val="83"/>
              <w:marBottom w:val="0"/>
              <w:divBdr>
                <w:top w:val="none" w:sz="0" w:space="0" w:color="auto"/>
                <w:left w:val="none" w:sz="0" w:space="0" w:color="auto"/>
                <w:bottom w:val="none" w:sz="0" w:space="0" w:color="auto"/>
                <w:right w:val="none" w:sz="0" w:space="0" w:color="auto"/>
              </w:divBdr>
            </w:div>
          </w:divsChild>
        </w:div>
        <w:div w:id="692220822">
          <w:marLeft w:val="0"/>
          <w:marRight w:val="0"/>
          <w:marTop w:val="83"/>
          <w:marBottom w:val="0"/>
          <w:divBdr>
            <w:top w:val="none" w:sz="0" w:space="0" w:color="auto"/>
            <w:left w:val="none" w:sz="0" w:space="0" w:color="auto"/>
            <w:bottom w:val="none" w:sz="0" w:space="0" w:color="auto"/>
            <w:right w:val="none" w:sz="0" w:space="0" w:color="auto"/>
          </w:divBdr>
        </w:div>
        <w:div w:id="1649825957">
          <w:marLeft w:val="0"/>
          <w:marRight w:val="0"/>
          <w:marTop w:val="83"/>
          <w:marBottom w:val="0"/>
          <w:divBdr>
            <w:top w:val="none" w:sz="0" w:space="0" w:color="auto"/>
            <w:left w:val="none" w:sz="0" w:space="0" w:color="auto"/>
            <w:bottom w:val="none" w:sz="0" w:space="0" w:color="auto"/>
            <w:right w:val="none" w:sz="0" w:space="0" w:color="auto"/>
          </w:divBdr>
        </w:div>
        <w:div w:id="1737119134">
          <w:marLeft w:val="0"/>
          <w:marRight w:val="0"/>
          <w:marTop w:val="83"/>
          <w:marBottom w:val="0"/>
          <w:divBdr>
            <w:top w:val="none" w:sz="0" w:space="0" w:color="auto"/>
            <w:left w:val="none" w:sz="0" w:space="0" w:color="auto"/>
            <w:bottom w:val="none" w:sz="0" w:space="0" w:color="auto"/>
            <w:right w:val="none" w:sz="0" w:space="0" w:color="auto"/>
          </w:divBdr>
        </w:div>
      </w:divsChild>
    </w:div>
    <w:div w:id="1047875992">
      <w:bodyDiv w:val="1"/>
      <w:marLeft w:val="0"/>
      <w:marRight w:val="0"/>
      <w:marTop w:val="0"/>
      <w:marBottom w:val="0"/>
      <w:divBdr>
        <w:top w:val="none" w:sz="0" w:space="0" w:color="auto"/>
        <w:left w:val="none" w:sz="0" w:space="0" w:color="auto"/>
        <w:bottom w:val="none" w:sz="0" w:space="0" w:color="auto"/>
        <w:right w:val="none" w:sz="0" w:space="0" w:color="auto"/>
      </w:divBdr>
      <w:divsChild>
        <w:div w:id="1534417124">
          <w:marLeft w:val="0"/>
          <w:marRight w:val="0"/>
          <w:marTop w:val="0"/>
          <w:marBottom w:val="120"/>
          <w:divBdr>
            <w:top w:val="none" w:sz="0" w:space="0" w:color="auto"/>
            <w:left w:val="none" w:sz="0" w:space="0" w:color="auto"/>
            <w:bottom w:val="none" w:sz="0" w:space="0" w:color="auto"/>
            <w:right w:val="none" w:sz="0" w:space="0" w:color="auto"/>
          </w:divBdr>
        </w:div>
      </w:divsChild>
    </w:div>
    <w:div w:id="1156797450">
      <w:bodyDiv w:val="1"/>
      <w:marLeft w:val="0"/>
      <w:marRight w:val="0"/>
      <w:marTop w:val="0"/>
      <w:marBottom w:val="0"/>
      <w:divBdr>
        <w:top w:val="none" w:sz="0" w:space="0" w:color="auto"/>
        <w:left w:val="none" w:sz="0" w:space="0" w:color="auto"/>
        <w:bottom w:val="none" w:sz="0" w:space="0" w:color="auto"/>
        <w:right w:val="none" w:sz="0" w:space="0" w:color="auto"/>
      </w:divBdr>
    </w:div>
    <w:div w:id="1169756387">
      <w:bodyDiv w:val="1"/>
      <w:marLeft w:val="0"/>
      <w:marRight w:val="0"/>
      <w:marTop w:val="0"/>
      <w:marBottom w:val="0"/>
      <w:divBdr>
        <w:top w:val="none" w:sz="0" w:space="0" w:color="auto"/>
        <w:left w:val="none" w:sz="0" w:space="0" w:color="auto"/>
        <w:bottom w:val="none" w:sz="0" w:space="0" w:color="auto"/>
        <w:right w:val="none" w:sz="0" w:space="0" w:color="auto"/>
      </w:divBdr>
    </w:div>
    <w:div w:id="1275017013">
      <w:bodyDiv w:val="1"/>
      <w:marLeft w:val="0"/>
      <w:marRight w:val="0"/>
      <w:marTop w:val="0"/>
      <w:marBottom w:val="0"/>
      <w:divBdr>
        <w:top w:val="none" w:sz="0" w:space="0" w:color="auto"/>
        <w:left w:val="none" w:sz="0" w:space="0" w:color="auto"/>
        <w:bottom w:val="none" w:sz="0" w:space="0" w:color="auto"/>
        <w:right w:val="none" w:sz="0" w:space="0" w:color="auto"/>
      </w:divBdr>
    </w:div>
    <w:div w:id="1285309575">
      <w:bodyDiv w:val="1"/>
      <w:marLeft w:val="0"/>
      <w:marRight w:val="0"/>
      <w:marTop w:val="0"/>
      <w:marBottom w:val="0"/>
      <w:divBdr>
        <w:top w:val="none" w:sz="0" w:space="0" w:color="auto"/>
        <w:left w:val="none" w:sz="0" w:space="0" w:color="auto"/>
        <w:bottom w:val="none" w:sz="0" w:space="0" w:color="auto"/>
        <w:right w:val="none" w:sz="0" w:space="0" w:color="auto"/>
      </w:divBdr>
    </w:div>
    <w:div w:id="1298560652">
      <w:bodyDiv w:val="1"/>
      <w:marLeft w:val="0"/>
      <w:marRight w:val="0"/>
      <w:marTop w:val="0"/>
      <w:marBottom w:val="0"/>
      <w:divBdr>
        <w:top w:val="none" w:sz="0" w:space="0" w:color="auto"/>
        <w:left w:val="none" w:sz="0" w:space="0" w:color="auto"/>
        <w:bottom w:val="none" w:sz="0" w:space="0" w:color="auto"/>
        <w:right w:val="none" w:sz="0" w:space="0" w:color="auto"/>
      </w:divBdr>
    </w:div>
    <w:div w:id="1381636048">
      <w:bodyDiv w:val="1"/>
      <w:marLeft w:val="0"/>
      <w:marRight w:val="0"/>
      <w:marTop w:val="0"/>
      <w:marBottom w:val="0"/>
      <w:divBdr>
        <w:top w:val="none" w:sz="0" w:space="0" w:color="auto"/>
        <w:left w:val="none" w:sz="0" w:space="0" w:color="auto"/>
        <w:bottom w:val="none" w:sz="0" w:space="0" w:color="auto"/>
        <w:right w:val="none" w:sz="0" w:space="0" w:color="auto"/>
      </w:divBdr>
    </w:div>
    <w:div w:id="1442610322">
      <w:bodyDiv w:val="1"/>
      <w:marLeft w:val="0"/>
      <w:marRight w:val="0"/>
      <w:marTop w:val="0"/>
      <w:marBottom w:val="0"/>
      <w:divBdr>
        <w:top w:val="none" w:sz="0" w:space="0" w:color="auto"/>
        <w:left w:val="none" w:sz="0" w:space="0" w:color="auto"/>
        <w:bottom w:val="none" w:sz="0" w:space="0" w:color="auto"/>
        <w:right w:val="none" w:sz="0" w:space="0" w:color="auto"/>
      </w:divBdr>
    </w:div>
    <w:div w:id="1609391525">
      <w:bodyDiv w:val="1"/>
      <w:marLeft w:val="0"/>
      <w:marRight w:val="0"/>
      <w:marTop w:val="0"/>
      <w:marBottom w:val="0"/>
      <w:divBdr>
        <w:top w:val="none" w:sz="0" w:space="0" w:color="auto"/>
        <w:left w:val="none" w:sz="0" w:space="0" w:color="auto"/>
        <w:bottom w:val="none" w:sz="0" w:space="0" w:color="auto"/>
        <w:right w:val="none" w:sz="0" w:space="0" w:color="auto"/>
      </w:divBdr>
    </w:div>
    <w:div w:id="1651249184">
      <w:bodyDiv w:val="1"/>
      <w:marLeft w:val="0"/>
      <w:marRight w:val="0"/>
      <w:marTop w:val="0"/>
      <w:marBottom w:val="0"/>
      <w:divBdr>
        <w:top w:val="none" w:sz="0" w:space="0" w:color="auto"/>
        <w:left w:val="none" w:sz="0" w:space="0" w:color="auto"/>
        <w:bottom w:val="none" w:sz="0" w:space="0" w:color="auto"/>
        <w:right w:val="none" w:sz="0" w:space="0" w:color="auto"/>
      </w:divBdr>
    </w:div>
    <w:div w:id="1666586367">
      <w:bodyDiv w:val="1"/>
      <w:marLeft w:val="0"/>
      <w:marRight w:val="0"/>
      <w:marTop w:val="0"/>
      <w:marBottom w:val="0"/>
      <w:divBdr>
        <w:top w:val="none" w:sz="0" w:space="0" w:color="auto"/>
        <w:left w:val="none" w:sz="0" w:space="0" w:color="auto"/>
        <w:bottom w:val="none" w:sz="0" w:space="0" w:color="auto"/>
        <w:right w:val="none" w:sz="0" w:space="0" w:color="auto"/>
      </w:divBdr>
    </w:div>
    <w:div w:id="1777288538">
      <w:bodyDiv w:val="1"/>
      <w:marLeft w:val="0"/>
      <w:marRight w:val="0"/>
      <w:marTop w:val="0"/>
      <w:marBottom w:val="0"/>
      <w:divBdr>
        <w:top w:val="none" w:sz="0" w:space="0" w:color="auto"/>
        <w:left w:val="none" w:sz="0" w:space="0" w:color="auto"/>
        <w:bottom w:val="none" w:sz="0" w:space="0" w:color="auto"/>
        <w:right w:val="none" w:sz="0" w:space="0" w:color="auto"/>
      </w:divBdr>
    </w:div>
    <w:div w:id="1850289086">
      <w:bodyDiv w:val="1"/>
      <w:marLeft w:val="0"/>
      <w:marRight w:val="0"/>
      <w:marTop w:val="0"/>
      <w:marBottom w:val="0"/>
      <w:divBdr>
        <w:top w:val="none" w:sz="0" w:space="0" w:color="auto"/>
        <w:left w:val="none" w:sz="0" w:space="0" w:color="auto"/>
        <w:bottom w:val="none" w:sz="0" w:space="0" w:color="auto"/>
        <w:right w:val="none" w:sz="0" w:space="0" w:color="auto"/>
      </w:divBdr>
    </w:div>
    <w:div w:id="1985815239">
      <w:bodyDiv w:val="1"/>
      <w:marLeft w:val="0"/>
      <w:marRight w:val="0"/>
      <w:marTop w:val="0"/>
      <w:marBottom w:val="0"/>
      <w:divBdr>
        <w:top w:val="none" w:sz="0" w:space="0" w:color="auto"/>
        <w:left w:val="none" w:sz="0" w:space="0" w:color="auto"/>
        <w:bottom w:val="none" w:sz="0" w:space="0" w:color="auto"/>
        <w:right w:val="none" w:sz="0" w:space="0" w:color="auto"/>
      </w:divBdr>
      <w:divsChild>
        <w:div w:id="809901325">
          <w:marLeft w:val="0"/>
          <w:marRight w:val="0"/>
          <w:marTop w:val="83"/>
          <w:marBottom w:val="0"/>
          <w:divBdr>
            <w:top w:val="none" w:sz="0" w:space="0" w:color="auto"/>
            <w:left w:val="none" w:sz="0" w:space="0" w:color="auto"/>
            <w:bottom w:val="none" w:sz="0" w:space="0" w:color="auto"/>
            <w:right w:val="none" w:sz="0" w:space="0" w:color="auto"/>
          </w:divBdr>
        </w:div>
        <w:div w:id="534342955">
          <w:marLeft w:val="0"/>
          <w:marRight w:val="0"/>
          <w:marTop w:val="83"/>
          <w:marBottom w:val="0"/>
          <w:divBdr>
            <w:top w:val="none" w:sz="0" w:space="0" w:color="auto"/>
            <w:left w:val="none" w:sz="0" w:space="0" w:color="auto"/>
            <w:bottom w:val="none" w:sz="0" w:space="0" w:color="auto"/>
            <w:right w:val="none" w:sz="0" w:space="0" w:color="auto"/>
          </w:divBdr>
          <w:divsChild>
            <w:div w:id="211968872">
              <w:marLeft w:val="0"/>
              <w:marRight w:val="0"/>
              <w:marTop w:val="83"/>
              <w:marBottom w:val="0"/>
              <w:divBdr>
                <w:top w:val="none" w:sz="0" w:space="0" w:color="auto"/>
                <w:left w:val="none" w:sz="0" w:space="0" w:color="auto"/>
                <w:bottom w:val="none" w:sz="0" w:space="0" w:color="auto"/>
                <w:right w:val="none" w:sz="0" w:space="0" w:color="auto"/>
              </w:divBdr>
            </w:div>
            <w:div w:id="819076436">
              <w:marLeft w:val="0"/>
              <w:marRight w:val="0"/>
              <w:marTop w:val="83"/>
              <w:marBottom w:val="0"/>
              <w:divBdr>
                <w:top w:val="none" w:sz="0" w:space="0" w:color="auto"/>
                <w:left w:val="none" w:sz="0" w:space="0" w:color="auto"/>
                <w:bottom w:val="none" w:sz="0" w:space="0" w:color="auto"/>
                <w:right w:val="none" w:sz="0" w:space="0" w:color="auto"/>
              </w:divBdr>
            </w:div>
          </w:divsChild>
        </w:div>
        <w:div w:id="735518118">
          <w:marLeft w:val="0"/>
          <w:marRight w:val="0"/>
          <w:marTop w:val="83"/>
          <w:marBottom w:val="0"/>
          <w:divBdr>
            <w:top w:val="none" w:sz="0" w:space="0" w:color="auto"/>
            <w:left w:val="none" w:sz="0" w:space="0" w:color="auto"/>
            <w:bottom w:val="none" w:sz="0" w:space="0" w:color="auto"/>
            <w:right w:val="none" w:sz="0" w:space="0" w:color="auto"/>
          </w:divBdr>
          <w:divsChild>
            <w:div w:id="685449636">
              <w:marLeft w:val="0"/>
              <w:marRight w:val="0"/>
              <w:marTop w:val="83"/>
              <w:marBottom w:val="0"/>
              <w:divBdr>
                <w:top w:val="none" w:sz="0" w:space="0" w:color="auto"/>
                <w:left w:val="none" w:sz="0" w:space="0" w:color="auto"/>
                <w:bottom w:val="none" w:sz="0" w:space="0" w:color="auto"/>
                <w:right w:val="none" w:sz="0" w:space="0" w:color="auto"/>
              </w:divBdr>
            </w:div>
            <w:div w:id="58761730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038923167">
      <w:bodyDiv w:val="1"/>
      <w:marLeft w:val="0"/>
      <w:marRight w:val="0"/>
      <w:marTop w:val="0"/>
      <w:marBottom w:val="0"/>
      <w:divBdr>
        <w:top w:val="none" w:sz="0" w:space="0" w:color="auto"/>
        <w:left w:val="none" w:sz="0" w:space="0" w:color="auto"/>
        <w:bottom w:val="none" w:sz="0" w:space="0" w:color="auto"/>
        <w:right w:val="none" w:sz="0" w:space="0" w:color="auto"/>
      </w:divBdr>
      <w:divsChild>
        <w:div w:id="190606806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cid:image008.png@01D29657.B9362420" TargetMode="External" Id="rId9" /><Relationship Type="http://schemas.openxmlformats.org/officeDocument/2006/relationships/customXml" Target="/customXML/item2.xml" Id="Rf45fcde79ee741ee" /></Relationships>
</file>

<file path=word/_rels/footnotes.xml.rels><?xml version="1.0" encoding="UTF-8" standalone="yes"?>
<Relationships xmlns="http://schemas.openxmlformats.org/package/2006/relationships"><Relationship Id="rId3" Type="http://schemas.openxmlformats.org/officeDocument/2006/relationships/hyperlink" Target="http://www.crc.govt.nz/publications/Consent%20Notifications/HearingEvidenceWalterCClark.pdf" TargetMode="External"/><Relationship Id="rId2" Type="http://schemas.openxmlformats.org/officeDocument/2006/relationships/hyperlink" Target="http://www.rotorualakes.co.nz/vdb/document/694" TargetMode="External"/><Relationship Id="rId1" Type="http://schemas.openxmlformats.org/officeDocument/2006/relationships/hyperlink" Target="http://www.rotorualakes.co.nz/vdb/document/162" TargetMode="External"/><Relationship Id="rId4" Type="http://schemas.openxmlformats.org/officeDocument/2006/relationships/hyperlink" Target="https://en.wikipedia.org/wiki/Steering_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A3889360</value>
    </field>
    <field name="Objective-Title">
      <value order="0">kaingaroa-timberlands-partnership-submitter-no-03-colin-maunder-evidence.docx</value>
    </field>
    <field name="Objective-Description">
      <value order="0"/>
    </field>
    <field name="Objective-CreationStamp">
      <value order="0">2021-07-28T01:43:07Z</value>
    </field>
    <field name="Objective-IsApproved">
      <value order="0">false</value>
    </field>
    <field name="Objective-IsPublished">
      <value order="0">true</value>
    </field>
    <field name="Objective-DatePublished">
      <value order="0">2021-07-28T01:43:07Z</value>
    </field>
    <field name="Objective-ModificationStamp">
      <value order="0">2021-07-28T01:43:07Z</value>
    </field>
    <field name="Objective-Owner">
      <value order="0">Chris Mahoney Administrator</value>
    </field>
    <field name="Objective-Path">
      <value order="0">EasyInfo Global Folder:'Virtual Filing Cabinet':Relationship Engagement:Communications Planning and Delivery:Communication Technology:Content management system - Umbraco - Website Management (including BOPRC corporate site and Sam intranet site):Migrated Publications on Public Website</value>
    </field>
    <field name="Objective-Parent">
      <value order="0">Migrated Publications on Public Website</value>
    </field>
    <field name="Objective-State">
      <value order="0">Published</value>
    </field>
    <field name="Objective-VersionId">
      <value order="0">vA5881871</value>
    </field>
    <field name="Objective-Version">
      <value order="0">1.0</value>
    </field>
    <field name="Objective-VersionNumber">
      <value order="0">1</value>
    </field>
    <field name="Objective-VersionComment">
      <value order="0">First version</value>
    </field>
    <field name="Objective-FileNumber">
      <value order="0">5.01238</value>
    </field>
    <field name="Objective-Classification">
      <value order="0">Public Access</value>
    </field>
    <field name="Objective-Caveats">
      <value order="0"/>
    </field>
  </systemFields>
  <catalogues>
    <catalogue name="Backcapture / Migrated Type Catalogue" type="type" ori="id:cA9">
      <field name="Objective-Previous File Number">
        <value order="0"/>
      </field>
      <field name="Objective-Accela Ke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FBA5B-628A-4EAD-8659-F15F0122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14</Pages>
  <Words>7012</Words>
  <Characters>39972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cp:lastModifiedBy>
  <cp:revision>35</cp:revision>
  <cp:lastPrinted>2017-02-22T21:11:00Z</cp:lastPrinted>
  <dcterms:created xsi:type="dcterms:W3CDTF">2017-03-04T02:22:00Z</dcterms:created>
  <dcterms:modified xsi:type="dcterms:W3CDTF">2017-03-07T01:10:00Z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A3889360</vt:lpwstr>
  </property>
  <property fmtid="{D5CDD505-2E9C-101B-9397-08002B2CF9AE}" pid="4" name="Objective-Title">
    <vt:lpwstr>kaingaroa-timberlands-partnership-submitter-no-03-colin-maunder-evidence.docx</vt:lpwstr>
  </property>
  <property fmtid="{D5CDD505-2E9C-101B-9397-08002B2CF9AE}" pid="5" name="Objective-Description">
    <vt:lpwstr/>
  </property>
  <property fmtid="{D5CDD505-2E9C-101B-9397-08002B2CF9AE}" pid="6" name="Objective-CreationStamp">
    <vt:filetime>2021-07-28T01:43:07Z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2021-07-28T01:43:07Z</vt:filetime>
  </property>
  <property fmtid="{D5CDD505-2E9C-101B-9397-08002B2CF9AE}" pid="10" name="Objective-ModificationStamp">
    <vt:filetime>2021-07-28T01:43:07Z</vt:filetime>
  </property>
  <property fmtid="{D5CDD505-2E9C-101B-9397-08002B2CF9AE}" pid="11" name="Objective-Owner">
    <vt:lpwstr>Chris Mahoney Administrator</vt:lpwstr>
  </property>
  <property fmtid="{D5CDD505-2E9C-101B-9397-08002B2CF9AE}" pid="12" name="Objective-Path">
    <vt:lpwstr>EasyInfo Global Folder:'Virtual Filing Cabinet':Relationship Engagement:Communications Planning and Delivery:Communication Technology:Content management system - Umbraco - Website Management (including BOPRC corporate site and Sam intranet site):Migrated Publications on Public Website</vt:lpwstr>
  </property>
  <property fmtid="{D5CDD505-2E9C-101B-9397-08002B2CF9AE}" pid="13" name="Objective-Parent">
    <vt:lpwstr>Migrated Publications on Public Website</vt:lpwstr>
  </property>
  <property fmtid="{D5CDD505-2E9C-101B-9397-08002B2CF9AE}" pid="14" name="Objective-State">
    <vt:lpwstr>Published</vt:lpwstr>
  </property>
  <property fmtid="{D5CDD505-2E9C-101B-9397-08002B2CF9AE}" pid="15" name="Objective-VersionId">
    <vt:lpwstr>vA5881871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5.01238</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Previous File Number">
    <vt:lpwstr/>
  </property>
  <property fmtid="{D5CDD505-2E9C-101B-9397-08002B2CF9AE}" pid="23" name="Objective-Accela Key">
    <vt:lpwstr/>
  </property>
</Properties>
</file>