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03" w:rsidRPr="004A2303" w:rsidRDefault="004A2303" w:rsidP="00D70FA1">
      <w:pPr>
        <w:ind w:left="-851"/>
        <w:rPr>
          <w:sz w:val="27"/>
          <w:szCs w:val="27"/>
        </w:rPr>
      </w:pPr>
      <w:r w:rsidRPr="004A2303">
        <w:rPr>
          <w:sz w:val="27"/>
          <w:szCs w:val="27"/>
        </w:rPr>
        <w:t>Regional Natural Resources Plan - Freshwater Management update March 2021</w:t>
      </w: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240"/>
      </w:tblGrid>
      <w:tr w:rsidR="004A2303" w:rsidTr="00D70FA1">
        <w:tc>
          <w:tcPr>
            <w:tcW w:w="1125" w:type="pct"/>
            <w:shd w:val="clear" w:color="auto" w:fill="auto"/>
            <w:tcMar>
              <w:top w:w="28" w:type="dxa"/>
              <w:bottom w:w="28" w:type="dxa"/>
            </w:tcMar>
          </w:tcPr>
          <w:p w:rsidR="004A2303" w:rsidRPr="00487174" w:rsidRDefault="004A2303" w:rsidP="004A2303">
            <w:pPr>
              <w:pStyle w:val="para"/>
              <w:spacing w:before="60" w:after="60"/>
              <w:ind w:left="0" w:firstLine="0"/>
              <w:jc w:val="left"/>
              <w:rPr>
                <w:rFonts w:cs="Arial"/>
                <w:b/>
                <w:sz w:val="18"/>
                <w:szCs w:val="18"/>
              </w:rPr>
            </w:pPr>
            <w:r w:rsidRPr="00487174">
              <w:rPr>
                <w:rFonts w:cs="Arial"/>
                <w:b/>
                <w:sz w:val="18"/>
                <w:szCs w:val="18"/>
              </w:rPr>
              <w:t>Change/Update</w:t>
            </w:r>
          </w:p>
        </w:tc>
        <w:tc>
          <w:tcPr>
            <w:tcW w:w="3875" w:type="pct"/>
            <w:shd w:val="clear" w:color="auto" w:fill="auto"/>
            <w:tcMar>
              <w:top w:w="28" w:type="dxa"/>
              <w:bottom w:w="28" w:type="dxa"/>
            </w:tcMar>
          </w:tcPr>
          <w:p w:rsidR="004A2303" w:rsidRPr="00487174" w:rsidRDefault="004A2303" w:rsidP="004A2303">
            <w:pPr>
              <w:pStyle w:val="para"/>
              <w:spacing w:before="60" w:after="60"/>
              <w:ind w:left="0" w:firstLine="0"/>
              <w:jc w:val="left"/>
              <w:rPr>
                <w:rFonts w:cs="Arial"/>
                <w:b/>
                <w:sz w:val="18"/>
                <w:szCs w:val="18"/>
              </w:rPr>
            </w:pPr>
            <w:r w:rsidRPr="00487174">
              <w:rPr>
                <w:rFonts w:cs="Arial"/>
                <w:b/>
                <w:sz w:val="18"/>
                <w:szCs w:val="18"/>
              </w:rPr>
              <w:t>Provisions Affected</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Amendments required by clauses 3.22(1), 3.24(1) and 3.26(1) of the National Policy Statement for Freshwater Management 2020</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BW Chapter - New passage of fish objective BW 03A</w:t>
            </w:r>
          </w:p>
          <w:p w:rsidR="00C61A34" w:rsidRPr="003F3B5B" w:rsidRDefault="00C61A34" w:rsidP="003F3B5B">
            <w:pPr>
              <w:pStyle w:val="para"/>
              <w:spacing w:after="0"/>
              <w:ind w:left="1167" w:hanging="818"/>
              <w:rPr>
                <w:rFonts w:cs="Arial"/>
                <w:i/>
                <w:sz w:val="18"/>
                <w:szCs w:val="18"/>
              </w:rPr>
            </w:pPr>
            <w:r w:rsidRPr="00C3362C">
              <w:rPr>
                <w:rFonts w:cs="Arial"/>
                <w:i/>
                <w:sz w:val="18"/>
                <w:szCs w:val="18"/>
                <w:u w:val="single"/>
              </w:rPr>
              <w:t>BW O3A</w:t>
            </w:r>
            <w:r w:rsidRPr="00C3362C">
              <w:rPr>
                <w:rFonts w:cs="Arial"/>
                <w:i/>
                <w:sz w:val="18"/>
                <w:szCs w:val="18"/>
                <w:u w:val="single"/>
              </w:rPr>
              <w:tab/>
              <w:t>The passage of fish is maintained, or is improved, by instream structures, except where it is desirable to prevent the passage of some fish species in order to protect desired fish species, their life stages, or their habitats</w:t>
            </w:r>
            <w:r w:rsidRPr="003F3B5B">
              <w:rPr>
                <w:rFonts w:cs="Arial"/>
                <w:i/>
                <w:sz w:val="18"/>
                <w:szCs w:val="18"/>
              </w:rPr>
              <w:t>.</w:t>
            </w:r>
          </w:p>
          <w:p w:rsidR="00C61A34" w:rsidRDefault="00C61A34" w:rsidP="00C61A34">
            <w:pPr>
              <w:pStyle w:val="para"/>
              <w:spacing w:before="60" w:after="60"/>
              <w:jc w:val="left"/>
              <w:rPr>
                <w:sz w:val="18"/>
                <w:szCs w:val="18"/>
              </w:rPr>
            </w:pPr>
          </w:p>
          <w:p w:rsidR="00C61A34" w:rsidRPr="00CE327F" w:rsidRDefault="004A2303" w:rsidP="00CE327F">
            <w:pPr>
              <w:pStyle w:val="para"/>
              <w:numPr>
                <w:ilvl w:val="0"/>
                <w:numId w:val="1"/>
              </w:numPr>
              <w:spacing w:before="60" w:after="60"/>
              <w:jc w:val="left"/>
              <w:rPr>
                <w:sz w:val="18"/>
                <w:szCs w:val="18"/>
              </w:rPr>
            </w:pPr>
            <w:r>
              <w:rPr>
                <w:sz w:val="18"/>
                <w:szCs w:val="18"/>
              </w:rPr>
              <w:t>IM Chapter - New loss of river extent and values policy IM P1A</w:t>
            </w:r>
          </w:p>
          <w:p w:rsidR="00C61A34" w:rsidRPr="00C3362C" w:rsidRDefault="00C61A34" w:rsidP="00C61A34">
            <w:pPr>
              <w:pStyle w:val="para"/>
              <w:spacing w:after="0"/>
              <w:ind w:left="1167" w:hanging="818"/>
              <w:rPr>
                <w:rFonts w:cs="Arial"/>
                <w:i/>
                <w:sz w:val="18"/>
                <w:szCs w:val="18"/>
                <w:u w:val="single"/>
              </w:rPr>
            </w:pPr>
            <w:r w:rsidRPr="00C3362C">
              <w:rPr>
                <w:rFonts w:cs="Arial"/>
                <w:i/>
                <w:sz w:val="18"/>
                <w:szCs w:val="18"/>
                <w:u w:val="single"/>
              </w:rPr>
              <w:t>IM P1A</w:t>
            </w:r>
            <w:r w:rsidRPr="00C3362C">
              <w:rPr>
                <w:rFonts w:cs="Arial"/>
                <w:i/>
                <w:sz w:val="18"/>
                <w:szCs w:val="18"/>
                <w:u w:val="single"/>
              </w:rPr>
              <w:tab/>
              <w:t>The loss of river extent and values is avoided, unless the council is satisfied:</w:t>
            </w:r>
          </w:p>
          <w:p w:rsidR="00C61A34" w:rsidRPr="00C3362C" w:rsidRDefault="00C61A34" w:rsidP="007F3B05">
            <w:pPr>
              <w:pStyle w:val="para"/>
              <w:numPr>
                <w:ilvl w:val="0"/>
                <w:numId w:val="4"/>
              </w:numPr>
              <w:spacing w:after="0"/>
              <w:ind w:left="1882" w:hanging="709"/>
              <w:rPr>
                <w:rFonts w:cs="Arial"/>
                <w:i/>
                <w:sz w:val="18"/>
                <w:szCs w:val="18"/>
                <w:u w:val="single"/>
              </w:rPr>
            </w:pPr>
            <w:r w:rsidRPr="00C3362C">
              <w:rPr>
                <w:rFonts w:cs="Arial"/>
                <w:i/>
                <w:sz w:val="18"/>
                <w:szCs w:val="18"/>
                <w:u w:val="single"/>
              </w:rPr>
              <w:t>that there is a functional need for the activity in that location; and</w:t>
            </w:r>
          </w:p>
          <w:p w:rsidR="00C61A34" w:rsidRPr="00C3362C" w:rsidRDefault="00C61A34" w:rsidP="007F3B05">
            <w:pPr>
              <w:pStyle w:val="para"/>
              <w:numPr>
                <w:ilvl w:val="0"/>
                <w:numId w:val="4"/>
              </w:numPr>
              <w:spacing w:after="0"/>
              <w:ind w:left="1882" w:hanging="709"/>
              <w:rPr>
                <w:rFonts w:cs="Arial"/>
                <w:i/>
                <w:sz w:val="18"/>
                <w:szCs w:val="18"/>
                <w:u w:val="single"/>
              </w:rPr>
            </w:pPr>
            <w:r w:rsidRPr="00C3362C">
              <w:rPr>
                <w:rFonts w:cs="Arial"/>
                <w:i/>
                <w:sz w:val="18"/>
                <w:szCs w:val="18"/>
                <w:u w:val="single"/>
              </w:rPr>
              <w:t>the effects of the activity are managed by applying the effects management hierarchy.</w:t>
            </w:r>
          </w:p>
          <w:p w:rsidR="00C61A34" w:rsidRPr="00C3362C" w:rsidRDefault="00C61A34" w:rsidP="00C61A34">
            <w:pPr>
              <w:pStyle w:val="para"/>
              <w:spacing w:after="0"/>
              <w:ind w:left="1167" w:hanging="818"/>
              <w:rPr>
                <w:rFonts w:cs="Arial"/>
                <w:i/>
                <w:sz w:val="18"/>
                <w:szCs w:val="18"/>
                <w:u w:val="single"/>
              </w:rPr>
            </w:pPr>
          </w:p>
          <w:p w:rsidR="00C61A34" w:rsidRPr="00C3362C" w:rsidRDefault="00C61A34" w:rsidP="00CE327F">
            <w:pPr>
              <w:pStyle w:val="para"/>
              <w:spacing w:after="0"/>
              <w:ind w:left="1173" w:firstLine="0"/>
              <w:rPr>
                <w:rFonts w:cs="Arial"/>
                <w:i/>
                <w:sz w:val="18"/>
                <w:szCs w:val="18"/>
                <w:u w:val="single"/>
              </w:rPr>
            </w:pPr>
            <w:r w:rsidRPr="00C3362C">
              <w:rPr>
                <w:rFonts w:cs="Arial"/>
                <w:i/>
                <w:sz w:val="18"/>
                <w:szCs w:val="18"/>
                <w:u w:val="single"/>
              </w:rPr>
              <w:t>For the purposes of this policy, effects management hierarchy and loss of value have the meaning given by the National Policy Statement for Freshwater Management 2020.</w:t>
            </w:r>
          </w:p>
          <w:p w:rsidR="00C61A34" w:rsidRDefault="00C61A34" w:rsidP="00C61A34">
            <w:pPr>
              <w:pStyle w:val="para"/>
              <w:spacing w:before="60" w:after="60"/>
              <w:jc w:val="left"/>
              <w:rPr>
                <w:sz w:val="18"/>
                <w:szCs w:val="18"/>
              </w:rPr>
            </w:pPr>
          </w:p>
          <w:p w:rsidR="00C61A34" w:rsidRPr="00CE327F" w:rsidRDefault="004A2303" w:rsidP="00CE327F">
            <w:pPr>
              <w:pStyle w:val="para"/>
              <w:numPr>
                <w:ilvl w:val="0"/>
                <w:numId w:val="1"/>
              </w:numPr>
              <w:spacing w:before="60" w:after="60"/>
              <w:jc w:val="left"/>
              <w:rPr>
                <w:sz w:val="18"/>
                <w:szCs w:val="18"/>
              </w:rPr>
            </w:pPr>
            <w:r>
              <w:rPr>
                <w:sz w:val="18"/>
                <w:szCs w:val="18"/>
              </w:rPr>
              <w:t>WL Chapter - New natural inland wetlands policy WL P13</w:t>
            </w:r>
          </w:p>
          <w:p w:rsidR="00C61A34" w:rsidRDefault="00C61A34" w:rsidP="00CE327F">
            <w:pPr>
              <w:pStyle w:val="para"/>
              <w:spacing w:after="0"/>
              <w:ind w:left="1167" w:hanging="818"/>
              <w:rPr>
                <w:rFonts w:cs="Arial"/>
                <w:i/>
                <w:sz w:val="18"/>
                <w:szCs w:val="18"/>
                <w:u w:val="single"/>
              </w:rPr>
            </w:pPr>
            <w:r w:rsidRPr="00C3362C">
              <w:rPr>
                <w:rFonts w:cs="Arial"/>
                <w:i/>
                <w:sz w:val="18"/>
                <w:szCs w:val="18"/>
                <w:u w:val="single"/>
              </w:rPr>
              <w:t xml:space="preserve">WL P13 </w:t>
            </w:r>
            <w:r w:rsidRPr="00C3362C">
              <w:rPr>
                <w:rFonts w:cs="Arial"/>
                <w:i/>
                <w:sz w:val="18"/>
                <w:szCs w:val="18"/>
                <w:u w:val="single"/>
              </w:rPr>
              <w:tab/>
              <w:t>The loss of extent of natural inland wetlands is avoided, their values are protected, and their restora</w:t>
            </w:r>
            <w:r w:rsidR="00CE327F">
              <w:rPr>
                <w:rFonts w:cs="Arial"/>
                <w:i/>
                <w:sz w:val="18"/>
                <w:szCs w:val="18"/>
                <w:u w:val="single"/>
              </w:rPr>
              <w:t>tion is promoted, except where:</w:t>
            </w:r>
          </w:p>
          <w:p w:rsidR="00CE327F" w:rsidRPr="00CE327F" w:rsidRDefault="00CE327F" w:rsidP="00CE327F">
            <w:pPr>
              <w:pStyle w:val="para"/>
              <w:spacing w:after="0"/>
              <w:ind w:left="1167" w:hanging="818"/>
              <w:rPr>
                <w:rFonts w:cs="Arial"/>
                <w:i/>
                <w:sz w:val="18"/>
                <w:szCs w:val="18"/>
                <w:u w:val="single"/>
              </w:rPr>
            </w:pPr>
          </w:p>
          <w:p w:rsidR="00C61A34" w:rsidRPr="00C3362C" w:rsidRDefault="00C61A34" w:rsidP="00CE327F">
            <w:pPr>
              <w:pStyle w:val="para"/>
              <w:numPr>
                <w:ilvl w:val="0"/>
                <w:numId w:val="7"/>
              </w:numPr>
              <w:spacing w:after="0"/>
              <w:ind w:left="1882" w:hanging="709"/>
              <w:rPr>
                <w:rFonts w:cs="Arial"/>
                <w:i/>
                <w:sz w:val="18"/>
                <w:szCs w:val="18"/>
                <w:u w:val="single"/>
              </w:rPr>
            </w:pPr>
            <w:r w:rsidRPr="00C3362C">
              <w:rPr>
                <w:rFonts w:cs="Arial"/>
                <w:i/>
                <w:sz w:val="18"/>
                <w:szCs w:val="18"/>
                <w:u w:val="single"/>
              </w:rPr>
              <w:t>the loss of extent or values arises from any of the following:</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customary harvest of food or resources undertaken i</w:t>
            </w:r>
            <w:r w:rsidR="00144A20">
              <w:rPr>
                <w:i/>
                <w:sz w:val="18"/>
                <w:szCs w:val="18"/>
                <w:u w:val="single"/>
              </w:rPr>
              <w:t>n accordance with tikanga Māori</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restoration activities</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scientific research</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sustainable harvest of sphagnum moss</w:t>
            </w:r>
          </w:p>
          <w:p w:rsidR="00C3362C" w:rsidRPr="00C3362C" w:rsidRDefault="00C61A34" w:rsidP="00C3362C">
            <w:pPr>
              <w:pStyle w:val="para"/>
              <w:numPr>
                <w:ilvl w:val="0"/>
                <w:numId w:val="5"/>
              </w:numPr>
              <w:spacing w:before="60" w:after="60"/>
              <w:rPr>
                <w:i/>
                <w:sz w:val="18"/>
                <w:szCs w:val="18"/>
                <w:u w:val="single"/>
              </w:rPr>
            </w:pPr>
            <w:r w:rsidRPr="00C3362C">
              <w:rPr>
                <w:i/>
                <w:sz w:val="18"/>
                <w:szCs w:val="18"/>
                <w:u w:val="single"/>
              </w:rPr>
              <w:t>the construction or maintenance of wetland utility structures (as defined in the Resource Management (National Environmental Standards for Freshwater) Regulations 2020)</w:t>
            </w:r>
          </w:p>
          <w:p w:rsidR="007F3B05" w:rsidRDefault="00C61A34" w:rsidP="007F3B05">
            <w:pPr>
              <w:pStyle w:val="para"/>
              <w:numPr>
                <w:ilvl w:val="0"/>
                <w:numId w:val="5"/>
              </w:numPr>
              <w:spacing w:before="60" w:after="60"/>
              <w:rPr>
                <w:i/>
                <w:sz w:val="18"/>
                <w:szCs w:val="18"/>
                <w:u w:val="single"/>
              </w:rPr>
            </w:pPr>
            <w:r w:rsidRPr="00C3362C">
              <w:rPr>
                <w:i/>
                <w:sz w:val="18"/>
                <w:szCs w:val="18"/>
                <w:u w:val="single"/>
              </w:rPr>
              <w:t>the maintenance or operation of specified infrastructure, or other infrastructure (as defined in the Resource Management (National Environmental Standards for Freshwater) Regulations 2020)</w:t>
            </w:r>
          </w:p>
          <w:p w:rsidR="00C61A34" w:rsidRPr="00144A20" w:rsidRDefault="00C61A34" w:rsidP="00144A20">
            <w:pPr>
              <w:pStyle w:val="para"/>
              <w:numPr>
                <w:ilvl w:val="0"/>
                <w:numId w:val="5"/>
              </w:numPr>
              <w:spacing w:before="60" w:after="60"/>
              <w:rPr>
                <w:i/>
                <w:sz w:val="18"/>
                <w:szCs w:val="18"/>
                <w:u w:val="single"/>
              </w:rPr>
            </w:pPr>
            <w:r w:rsidRPr="007F3B05">
              <w:rPr>
                <w:i/>
                <w:sz w:val="18"/>
                <w:szCs w:val="18"/>
                <w:u w:val="single"/>
              </w:rPr>
              <w:t>natural hazard works (as defined in the Resource Management (National Environmental Standards for Freshwater) Regulations 2020); or</w:t>
            </w:r>
          </w:p>
          <w:p w:rsidR="00C61A34" w:rsidRPr="00C3362C" w:rsidRDefault="00C61A34" w:rsidP="00CE327F">
            <w:pPr>
              <w:pStyle w:val="para"/>
              <w:numPr>
                <w:ilvl w:val="0"/>
                <w:numId w:val="8"/>
              </w:numPr>
              <w:spacing w:after="0"/>
              <w:ind w:left="1882" w:hanging="709"/>
              <w:rPr>
                <w:rFonts w:cs="Arial"/>
                <w:i/>
                <w:sz w:val="18"/>
                <w:szCs w:val="18"/>
                <w:u w:val="single"/>
              </w:rPr>
            </w:pPr>
            <w:r w:rsidRPr="00C3362C">
              <w:rPr>
                <w:rFonts w:cs="Arial"/>
                <w:i/>
                <w:sz w:val="18"/>
                <w:szCs w:val="18"/>
                <w:u w:val="single"/>
              </w:rPr>
              <w:t>the Regional Council is satisfied that:</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 activity is necessary for the construction or upgrade of specified infrastructure; and</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 specified infrastructure will provide significant national or regional benefits; and</w:t>
            </w:r>
          </w:p>
          <w:p w:rsidR="00C61A34" w:rsidRPr="00C3362C" w:rsidRDefault="00C61A34" w:rsidP="00C3362C">
            <w:pPr>
              <w:pStyle w:val="para"/>
              <w:numPr>
                <w:ilvl w:val="0"/>
                <w:numId w:val="6"/>
              </w:numPr>
              <w:spacing w:before="60" w:after="60"/>
              <w:rPr>
                <w:i/>
                <w:sz w:val="18"/>
                <w:szCs w:val="18"/>
                <w:u w:val="single"/>
              </w:rPr>
            </w:pPr>
            <w:r w:rsidRPr="00C3362C">
              <w:rPr>
                <w:i/>
                <w:sz w:val="18"/>
                <w:szCs w:val="18"/>
                <w:u w:val="single"/>
              </w:rPr>
              <w:t>there is a functional need for the specified infrastructure in that location; and</w:t>
            </w:r>
          </w:p>
          <w:p w:rsidR="00C61A34" w:rsidRPr="00144A20" w:rsidRDefault="00C61A34" w:rsidP="00144A20">
            <w:pPr>
              <w:pStyle w:val="para"/>
              <w:numPr>
                <w:ilvl w:val="0"/>
                <w:numId w:val="6"/>
              </w:numPr>
              <w:spacing w:before="60" w:after="60"/>
              <w:rPr>
                <w:i/>
                <w:sz w:val="18"/>
                <w:szCs w:val="18"/>
                <w:u w:val="single"/>
              </w:rPr>
            </w:pPr>
            <w:r w:rsidRPr="00C3362C">
              <w:rPr>
                <w:i/>
                <w:sz w:val="18"/>
                <w:szCs w:val="18"/>
                <w:u w:val="single"/>
              </w:rPr>
              <w:t>the effects of the activity are managed through applying the effects management hierarchy.</w:t>
            </w:r>
          </w:p>
          <w:p w:rsidR="00C61A34" w:rsidRPr="007F3B05" w:rsidRDefault="00C61A34" w:rsidP="00CE327F">
            <w:pPr>
              <w:pStyle w:val="para"/>
              <w:spacing w:before="60" w:after="60"/>
              <w:ind w:left="1173" w:firstLine="0"/>
              <w:rPr>
                <w:i/>
                <w:sz w:val="18"/>
                <w:szCs w:val="18"/>
                <w:u w:val="single"/>
              </w:rPr>
            </w:pPr>
            <w:r w:rsidRPr="007F3B05">
              <w:rPr>
                <w:i/>
                <w:sz w:val="18"/>
                <w:szCs w:val="18"/>
                <w:u w:val="single"/>
              </w:rPr>
              <w:t>For the purposes of this policy, effects management hierarchy, loss of value, natural inland wetland, specified infrastructure and restoration have the same meaning as defined in the National Policy Statement for Freshwater Management 2020.</w:t>
            </w:r>
          </w:p>
          <w:p w:rsidR="00C61A34" w:rsidRPr="004A2303" w:rsidRDefault="00C61A34" w:rsidP="00C61A34">
            <w:pPr>
              <w:pStyle w:val="para"/>
              <w:spacing w:before="60" w:after="60"/>
              <w:jc w:val="left"/>
              <w:rPr>
                <w:sz w:val="18"/>
                <w:szCs w:val="18"/>
              </w:rPr>
            </w:pP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Amendment required by National Policy Statement for Freshwater Management 2014 (as amended in 2017)</w:t>
            </w:r>
          </w:p>
        </w:tc>
        <w:tc>
          <w:tcPr>
            <w:tcW w:w="3875" w:type="pct"/>
            <w:shd w:val="clear" w:color="auto" w:fill="auto"/>
            <w:tcMar>
              <w:top w:w="28" w:type="dxa"/>
              <w:bottom w:w="28" w:type="dxa"/>
            </w:tcMar>
          </w:tcPr>
          <w:p w:rsidR="00C61A34" w:rsidRPr="00144A20" w:rsidRDefault="004A2303" w:rsidP="00144A20">
            <w:pPr>
              <w:pStyle w:val="para"/>
              <w:numPr>
                <w:ilvl w:val="0"/>
                <w:numId w:val="1"/>
              </w:numPr>
              <w:spacing w:before="60" w:after="60"/>
              <w:jc w:val="left"/>
              <w:rPr>
                <w:sz w:val="18"/>
                <w:szCs w:val="18"/>
              </w:rPr>
            </w:pPr>
            <w:r>
              <w:rPr>
                <w:sz w:val="18"/>
                <w:szCs w:val="18"/>
              </w:rPr>
              <w:t>DW Chapter - DW P6 (Policy 43A) amended by removing the word ‘secondary’ and updating the note</w:t>
            </w:r>
          </w:p>
          <w:p w:rsidR="00FD479C" w:rsidRPr="00D70FA1" w:rsidRDefault="00FD479C" w:rsidP="00FD479C">
            <w:pPr>
              <w:pStyle w:val="para"/>
              <w:spacing w:before="60" w:after="60"/>
              <w:rPr>
                <w:i/>
                <w:sz w:val="18"/>
                <w:szCs w:val="18"/>
              </w:rPr>
            </w:pPr>
            <w:r w:rsidRPr="00D70FA1">
              <w:rPr>
                <w:i/>
                <w:sz w:val="18"/>
                <w:szCs w:val="18"/>
              </w:rPr>
              <w:t>DW P6 (Policy 43A)</w:t>
            </w:r>
            <w:r w:rsidRPr="00D70FA1">
              <w:rPr>
                <w:i/>
                <w:sz w:val="18"/>
                <w:szCs w:val="18"/>
              </w:rPr>
              <w:tab/>
              <w:t>When considering any application for a discharge the consent authority must have regard to the following matters:</w:t>
            </w:r>
          </w:p>
          <w:p w:rsidR="00FD479C" w:rsidRPr="00D70FA1" w:rsidRDefault="00FD479C" w:rsidP="00FD479C">
            <w:pPr>
              <w:pStyle w:val="para"/>
              <w:spacing w:before="60" w:after="60"/>
              <w:ind w:left="2307" w:hanging="528"/>
              <w:rPr>
                <w:i/>
                <w:sz w:val="18"/>
                <w:szCs w:val="18"/>
              </w:rPr>
            </w:pPr>
            <w:r w:rsidRPr="00D70FA1">
              <w:rPr>
                <w:i/>
                <w:sz w:val="18"/>
                <w:szCs w:val="18"/>
              </w:rPr>
              <w:t>(a)</w:t>
            </w:r>
            <w:r w:rsidRPr="00D70FA1">
              <w:rPr>
                <w:i/>
                <w:sz w:val="18"/>
                <w:szCs w:val="18"/>
              </w:rPr>
              <w:tab/>
              <w:t>the extent to which the discharge would avoid contamination that will have an adverse effect on the life-supporting capacity of fresh water including on any ecosystem associated with fresh water; and</w:t>
            </w:r>
          </w:p>
          <w:p w:rsidR="00FD479C" w:rsidRPr="00D70FA1" w:rsidRDefault="00FD479C" w:rsidP="00FD479C">
            <w:pPr>
              <w:pStyle w:val="para"/>
              <w:spacing w:before="60" w:after="60"/>
              <w:ind w:left="2307" w:hanging="528"/>
              <w:rPr>
                <w:i/>
                <w:sz w:val="18"/>
                <w:szCs w:val="18"/>
              </w:rPr>
            </w:pPr>
            <w:r w:rsidRPr="00D70FA1">
              <w:rPr>
                <w:i/>
                <w:sz w:val="18"/>
                <w:szCs w:val="18"/>
              </w:rPr>
              <w:lastRenderedPageBreak/>
              <w:t>(b)</w:t>
            </w:r>
            <w:r w:rsidRPr="00D70FA1">
              <w:rPr>
                <w:i/>
                <w:sz w:val="18"/>
                <w:szCs w:val="18"/>
              </w:rPr>
              <w:tab/>
              <w:t>the extent to which it is feasible and dependable that any more than minor adverse effect on fresh water, and on any ecosystem associated with fresh water, resulting from the discharge would be avoided; and</w:t>
            </w:r>
          </w:p>
          <w:p w:rsidR="00FD479C" w:rsidRPr="00D70FA1" w:rsidRDefault="00FD479C" w:rsidP="00FD479C">
            <w:pPr>
              <w:pStyle w:val="para"/>
              <w:spacing w:before="60" w:after="60"/>
              <w:ind w:left="2307" w:hanging="528"/>
              <w:rPr>
                <w:i/>
                <w:sz w:val="18"/>
                <w:szCs w:val="18"/>
              </w:rPr>
            </w:pPr>
            <w:r w:rsidRPr="00D70FA1">
              <w:rPr>
                <w:i/>
                <w:sz w:val="18"/>
                <w:szCs w:val="18"/>
              </w:rPr>
              <w:t>(c)</w:t>
            </w:r>
            <w:r w:rsidRPr="00D70FA1">
              <w:rPr>
                <w:i/>
                <w:sz w:val="18"/>
                <w:szCs w:val="18"/>
              </w:rPr>
              <w:tab/>
              <w:t xml:space="preserve">the extent to which the discharge would avoid contamination that will have an adverse effect on the health of people and communities as affected by their </w:t>
            </w:r>
            <w:r w:rsidRPr="00D70FA1">
              <w:rPr>
                <w:i/>
                <w:strike/>
                <w:sz w:val="18"/>
                <w:szCs w:val="18"/>
              </w:rPr>
              <w:t xml:space="preserve">secondary </w:t>
            </w:r>
            <w:r w:rsidRPr="00D70FA1">
              <w:rPr>
                <w:i/>
                <w:sz w:val="18"/>
                <w:szCs w:val="18"/>
              </w:rPr>
              <w:t>contact with fresh water; and</w:t>
            </w:r>
          </w:p>
          <w:p w:rsidR="00C61A34" w:rsidRPr="00D70FA1" w:rsidRDefault="00FD479C" w:rsidP="00FD479C">
            <w:pPr>
              <w:pStyle w:val="para"/>
              <w:spacing w:before="60" w:after="60"/>
              <w:ind w:left="2307" w:hanging="528"/>
              <w:jc w:val="left"/>
              <w:rPr>
                <w:i/>
                <w:sz w:val="18"/>
                <w:szCs w:val="18"/>
              </w:rPr>
            </w:pPr>
            <w:r w:rsidRPr="00D70FA1">
              <w:rPr>
                <w:i/>
                <w:sz w:val="18"/>
                <w:szCs w:val="18"/>
              </w:rPr>
              <w:t>(d)</w:t>
            </w:r>
            <w:r w:rsidRPr="00D70FA1">
              <w:rPr>
                <w:i/>
                <w:sz w:val="18"/>
                <w:szCs w:val="18"/>
              </w:rPr>
              <w:tab/>
              <w:t xml:space="preserve">the extent to which it is feasible and dependable that any more than minor adverse effect on the health of people and communities as affected by their </w:t>
            </w:r>
            <w:r w:rsidRPr="00D70FA1">
              <w:rPr>
                <w:i/>
                <w:strike/>
                <w:sz w:val="18"/>
                <w:szCs w:val="18"/>
              </w:rPr>
              <w:t xml:space="preserve">secondary </w:t>
            </w:r>
            <w:r w:rsidRPr="00D70FA1">
              <w:rPr>
                <w:i/>
                <w:sz w:val="18"/>
                <w:szCs w:val="18"/>
              </w:rPr>
              <w:t>contact with fresh water resulting from the discharge would be avoided.</w:t>
            </w:r>
          </w:p>
          <w:p w:rsidR="00C61A34" w:rsidRPr="00D70FA1" w:rsidRDefault="00C61A34" w:rsidP="00FD479C">
            <w:pPr>
              <w:pStyle w:val="para"/>
              <w:spacing w:before="60" w:after="60"/>
              <w:ind w:left="0" w:firstLine="0"/>
              <w:jc w:val="left"/>
              <w:rPr>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This policy applies to the following discharges (including a diffuse discharge by any person or animal):</w:t>
            </w:r>
          </w:p>
          <w:p w:rsidR="00FD479C" w:rsidRPr="00D70FA1" w:rsidRDefault="00FD479C" w:rsidP="00FD479C">
            <w:pPr>
              <w:keepNext/>
              <w:numPr>
                <w:ilvl w:val="0"/>
                <w:numId w:val="9"/>
              </w:numPr>
              <w:spacing w:beforeLines="20" w:before="48" w:afterLines="20" w:after="48" w:line="240" w:lineRule="auto"/>
              <w:ind w:left="2307" w:hanging="567"/>
              <w:jc w:val="both"/>
              <w:rPr>
                <w:rFonts w:ascii="Arial" w:hAnsi="Arial" w:cs="Arial"/>
                <w:i/>
                <w:sz w:val="18"/>
                <w:szCs w:val="18"/>
              </w:rPr>
            </w:pPr>
            <w:r w:rsidRPr="00D70FA1">
              <w:rPr>
                <w:rFonts w:ascii="Arial" w:hAnsi="Arial" w:cs="Arial"/>
                <w:i/>
                <w:sz w:val="18"/>
                <w:szCs w:val="18"/>
              </w:rPr>
              <w:t>a new discharge; or</w:t>
            </w:r>
          </w:p>
          <w:p w:rsidR="00FD479C" w:rsidRPr="00D70FA1" w:rsidRDefault="00FD479C" w:rsidP="00FD479C">
            <w:pPr>
              <w:keepNext/>
              <w:numPr>
                <w:ilvl w:val="0"/>
                <w:numId w:val="9"/>
              </w:numPr>
              <w:spacing w:beforeLines="20" w:before="48" w:afterLines="20" w:after="48" w:line="240" w:lineRule="auto"/>
              <w:ind w:left="2307" w:hanging="567"/>
              <w:jc w:val="both"/>
              <w:rPr>
                <w:rFonts w:ascii="Arial" w:hAnsi="Arial" w:cs="Arial"/>
                <w:i/>
                <w:sz w:val="18"/>
                <w:szCs w:val="18"/>
              </w:rPr>
            </w:pPr>
            <w:r w:rsidRPr="00D70FA1">
              <w:rPr>
                <w:rFonts w:ascii="Arial" w:hAnsi="Arial" w:cs="Arial"/>
                <w:i/>
                <w:sz w:val="18"/>
                <w:szCs w:val="18"/>
              </w:rPr>
              <w:t>a change or increase in any discharge –</w:t>
            </w: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of any contaminant into fresh water, or onto or into land in circumstances that may result in that contaminant (or, as a result of any natural process from the discharge of that contaminant, any other contaminant) entering fresh water.</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Paragraph 1 parts a. and b. of this policy do not apply to any application for consent first lodged before the National Policy Statement for Freshwater Management takes effect on 1 July 2011.</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i/>
                <w:sz w:val="18"/>
                <w:szCs w:val="18"/>
              </w:rPr>
              <w:t>Paragraph 1 parts c. and d. of this policy do not apply to any application for consent first lodged before the National Policy Statement for Freshwater Management 2014 takes effect on 1 August 2014.</w:t>
            </w:r>
          </w:p>
          <w:p w:rsidR="00FD479C" w:rsidRPr="00D70FA1" w:rsidRDefault="00FD479C" w:rsidP="00FD479C">
            <w:pPr>
              <w:pStyle w:val="para"/>
              <w:spacing w:beforeLines="20" w:before="48" w:afterLines="20" w:after="48"/>
              <w:ind w:left="1740" w:firstLine="0"/>
              <w:rPr>
                <w:rFonts w:cs="Arial"/>
                <w:i/>
                <w:sz w:val="18"/>
                <w:szCs w:val="18"/>
              </w:rPr>
            </w:pPr>
          </w:p>
          <w:p w:rsidR="00FD479C" w:rsidRPr="00D70FA1" w:rsidRDefault="00FD479C" w:rsidP="00FD479C">
            <w:pPr>
              <w:pStyle w:val="para"/>
              <w:spacing w:beforeLines="20" w:before="48" w:afterLines="20" w:after="48"/>
              <w:ind w:left="1740" w:firstLine="0"/>
              <w:rPr>
                <w:rFonts w:cs="Arial"/>
                <w:i/>
                <w:sz w:val="18"/>
                <w:szCs w:val="18"/>
              </w:rPr>
            </w:pPr>
            <w:r w:rsidRPr="00D70FA1">
              <w:rPr>
                <w:rFonts w:cs="Arial"/>
                <w:b/>
                <w:i/>
                <w:sz w:val="18"/>
                <w:szCs w:val="18"/>
              </w:rPr>
              <w:t>Note:</w:t>
            </w:r>
            <w:r w:rsidRPr="00D70FA1">
              <w:rPr>
                <w:rFonts w:cs="Arial"/>
                <w:i/>
                <w:sz w:val="18"/>
                <w:szCs w:val="18"/>
              </w:rPr>
              <w:t xml:space="preserve"> This policy was inserted to meet the requirements of the National Policy Statement for Freshwater Management 2011.</w:t>
            </w:r>
          </w:p>
          <w:p w:rsidR="00C61A34" w:rsidRPr="00FD479C" w:rsidRDefault="00FD479C" w:rsidP="00FD479C">
            <w:pPr>
              <w:pStyle w:val="para"/>
              <w:spacing w:before="60" w:after="60"/>
              <w:ind w:left="1740" w:firstLine="0"/>
              <w:jc w:val="left"/>
              <w:rPr>
                <w:rFonts w:cs="Arial"/>
                <w:sz w:val="18"/>
                <w:szCs w:val="18"/>
              </w:rPr>
            </w:pPr>
            <w:r w:rsidRPr="00D70FA1">
              <w:rPr>
                <w:rFonts w:cs="Arial"/>
                <w:b/>
                <w:i/>
                <w:sz w:val="18"/>
                <w:szCs w:val="18"/>
              </w:rPr>
              <w:t>Note:</w:t>
            </w:r>
            <w:r w:rsidRPr="00D70FA1">
              <w:rPr>
                <w:rFonts w:cs="Arial"/>
                <w:i/>
                <w:sz w:val="18"/>
                <w:szCs w:val="18"/>
              </w:rPr>
              <w:t xml:space="preserve"> This policy was amended to meet the requirements of the National Policy Statement for Freshwater Management 2014</w:t>
            </w:r>
            <w:r w:rsidRPr="00D70FA1">
              <w:rPr>
                <w:rFonts w:cs="Arial"/>
                <w:i/>
                <w:sz w:val="18"/>
                <w:szCs w:val="18"/>
                <w:u w:val="single"/>
              </w:rPr>
              <w:t xml:space="preserve"> and National Policy Statement for Freshwater Management 2014 (amended in 2017).</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lastRenderedPageBreak/>
              <w:t>Amendment required by the National Planning Standards 2019</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Definition of Terms -  new term  ‘functional need’ inserted</w:t>
            </w:r>
          </w:p>
          <w:p w:rsidR="001018D5" w:rsidRPr="00D70FA1" w:rsidRDefault="001018D5" w:rsidP="001018D5">
            <w:pPr>
              <w:pStyle w:val="para"/>
              <w:spacing w:before="60" w:after="60"/>
              <w:ind w:left="357" w:firstLine="0"/>
              <w:jc w:val="left"/>
              <w:rPr>
                <w:i/>
                <w:sz w:val="18"/>
                <w:szCs w:val="18"/>
                <w:u w:val="single"/>
              </w:rPr>
            </w:pPr>
            <w:r w:rsidRPr="00D70FA1">
              <w:rPr>
                <w:b/>
                <w:i/>
                <w:sz w:val="18"/>
                <w:szCs w:val="18"/>
                <w:u w:val="single"/>
              </w:rPr>
              <w:t>Functional need</w:t>
            </w:r>
            <w:r w:rsidRPr="00D70FA1">
              <w:rPr>
                <w:i/>
                <w:sz w:val="18"/>
                <w:szCs w:val="18"/>
                <w:u w:val="single"/>
              </w:rPr>
              <w:t xml:space="preserve"> - </w:t>
            </w:r>
            <w:r w:rsidRPr="00D70FA1">
              <w:rPr>
                <w:rFonts w:cs="Arial"/>
                <w:i/>
                <w:sz w:val="18"/>
                <w:szCs w:val="18"/>
                <w:u w:val="single"/>
              </w:rPr>
              <w:t>means the need for a proposal or activity to traverse, locate or operate in a particular environment because the activity can only occur in that environment.</w:t>
            </w:r>
          </w:p>
        </w:tc>
      </w:tr>
      <w:tr w:rsidR="004A2303" w:rsidTr="00D70FA1">
        <w:tc>
          <w:tcPr>
            <w:tcW w:w="1125" w:type="pct"/>
            <w:shd w:val="clear" w:color="auto" w:fill="auto"/>
            <w:tcMar>
              <w:top w:w="28" w:type="dxa"/>
              <w:bottom w:w="28" w:type="dxa"/>
            </w:tcMar>
          </w:tcPr>
          <w:p w:rsidR="004A2303" w:rsidRDefault="004A2303" w:rsidP="004A2303">
            <w:pPr>
              <w:pStyle w:val="para"/>
              <w:spacing w:before="60" w:after="60"/>
              <w:ind w:left="0" w:firstLine="0"/>
              <w:jc w:val="left"/>
              <w:rPr>
                <w:sz w:val="18"/>
                <w:szCs w:val="18"/>
              </w:rPr>
            </w:pPr>
            <w:r>
              <w:rPr>
                <w:sz w:val="18"/>
                <w:szCs w:val="18"/>
              </w:rPr>
              <w:t>Consequential amendments</w:t>
            </w:r>
          </w:p>
        </w:tc>
        <w:tc>
          <w:tcPr>
            <w:tcW w:w="3875" w:type="pct"/>
            <w:shd w:val="clear" w:color="auto" w:fill="auto"/>
            <w:tcMar>
              <w:top w:w="28" w:type="dxa"/>
              <w:bottom w:w="28" w:type="dxa"/>
            </w:tcMar>
          </w:tcPr>
          <w:p w:rsidR="004A2303" w:rsidRDefault="004A2303" w:rsidP="004A2303">
            <w:pPr>
              <w:pStyle w:val="para"/>
              <w:numPr>
                <w:ilvl w:val="0"/>
                <w:numId w:val="1"/>
              </w:numPr>
              <w:spacing w:before="60" w:after="60"/>
              <w:jc w:val="left"/>
              <w:rPr>
                <w:sz w:val="18"/>
                <w:szCs w:val="18"/>
              </w:rPr>
            </w:pPr>
            <w:r>
              <w:rPr>
                <w:sz w:val="18"/>
                <w:szCs w:val="18"/>
              </w:rPr>
              <w:t>Conversion Index for Provisions updated</w:t>
            </w:r>
          </w:p>
        </w:tc>
      </w:tr>
    </w:tbl>
    <w:p w:rsidR="004A2303" w:rsidRDefault="004A2303" w:rsidP="00144A20">
      <w:bookmarkStart w:id="0" w:name="_GoBack"/>
      <w:bookmarkEnd w:id="0"/>
    </w:p>
    <w:sectPr w:rsidR="004A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3D" w:rsidRDefault="00DF6A3D" w:rsidP="004A2303">
      <w:pPr>
        <w:spacing w:after="0" w:line="240" w:lineRule="auto"/>
      </w:pPr>
      <w:r>
        <w:separator/>
      </w:r>
    </w:p>
  </w:endnote>
  <w:endnote w:type="continuationSeparator" w:id="0">
    <w:p w:rsidR="00DF6A3D" w:rsidRDefault="00DF6A3D" w:rsidP="004A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3D" w:rsidRDefault="00DF6A3D" w:rsidP="004A2303">
      <w:pPr>
        <w:spacing w:after="0" w:line="240" w:lineRule="auto"/>
      </w:pPr>
      <w:r>
        <w:separator/>
      </w:r>
    </w:p>
  </w:footnote>
  <w:footnote w:type="continuationSeparator" w:id="0">
    <w:p w:rsidR="00DF6A3D" w:rsidRDefault="00DF6A3D" w:rsidP="004A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6C"/>
    <w:multiLevelType w:val="hybridMultilevel"/>
    <w:tmpl w:val="818C401E"/>
    <w:lvl w:ilvl="0" w:tplc="FFF64B7E">
      <w:start w:val="1"/>
      <w:numFmt w:val="bullet"/>
      <w:lvlText w:val=""/>
      <w:lvlJc w:val="left"/>
      <w:pPr>
        <w:tabs>
          <w:tab w:val="num" w:pos="357"/>
        </w:tabs>
        <w:ind w:left="357" w:hanging="357"/>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4A7038"/>
    <w:multiLevelType w:val="hybridMultilevel"/>
    <w:tmpl w:val="146CF07C"/>
    <w:lvl w:ilvl="0" w:tplc="30604F56">
      <w:start w:val="1"/>
      <w:numFmt w:val="lowerLetter"/>
      <w:lvlText w:val="(%1)"/>
      <w:lvlJc w:val="left"/>
      <w:pPr>
        <w:ind w:left="709" w:hanging="360"/>
      </w:pPr>
      <w:rPr>
        <w:rFonts w:hint="default"/>
      </w:rPr>
    </w:lvl>
    <w:lvl w:ilvl="1" w:tplc="14090019" w:tentative="1">
      <w:start w:val="1"/>
      <w:numFmt w:val="lowerLetter"/>
      <w:lvlText w:val="%2."/>
      <w:lvlJc w:val="left"/>
      <w:pPr>
        <w:ind w:left="1429" w:hanging="360"/>
      </w:pPr>
    </w:lvl>
    <w:lvl w:ilvl="2" w:tplc="1409001B" w:tentative="1">
      <w:start w:val="1"/>
      <w:numFmt w:val="lowerRoman"/>
      <w:lvlText w:val="%3."/>
      <w:lvlJc w:val="right"/>
      <w:pPr>
        <w:ind w:left="2149" w:hanging="180"/>
      </w:pPr>
    </w:lvl>
    <w:lvl w:ilvl="3" w:tplc="1409000F" w:tentative="1">
      <w:start w:val="1"/>
      <w:numFmt w:val="decimal"/>
      <w:lvlText w:val="%4."/>
      <w:lvlJc w:val="left"/>
      <w:pPr>
        <w:ind w:left="2869" w:hanging="360"/>
      </w:pPr>
    </w:lvl>
    <w:lvl w:ilvl="4" w:tplc="14090019" w:tentative="1">
      <w:start w:val="1"/>
      <w:numFmt w:val="lowerLetter"/>
      <w:lvlText w:val="%5."/>
      <w:lvlJc w:val="left"/>
      <w:pPr>
        <w:ind w:left="3589" w:hanging="360"/>
      </w:pPr>
    </w:lvl>
    <w:lvl w:ilvl="5" w:tplc="1409001B" w:tentative="1">
      <w:start w:val="1"/>
      <w:numFmt w:val="lowerRoman"/>
      <w:lvlText w:val="%6."/>
      <w:lvlJc w:val="right"/>
      <w:pPr>
        <w:ind w:left="4309" w:hanging="180"/>
      </w:pPr>
    </w:lvl>
    <w:lvl w:ilvl="6" w:tplc="1409000F" w:tentative="1">
      <w:start w:val="1"/>
      <w:numFmt w:val="decimal"/>
      <w:lvlText w:val="%7."/>
      <w:lvlJc w:val="left"/>
      <w:pPr>
        <w:ind w:left="5029" w:hanging="360"/>
      </w:pPr>
    </w:lvl>
    <w:lvl w:ilvl="7" w:tplc="14090019" w:tentative="1">
      <w:start w:val="1"/>
      <w:numFmt w:val="lowerLetter"/>
      <w:lvlText w:val="%8."/>
      <w:lvlJc w:val="left"/>
      <w:pPr>
        <w:ind w:left="5749" w:hanging="360"/>
      </w:pPr>
    </w:lvl>
    <w:lvl w:ilvl="8" w:tplc="1409001B" w:tentative="1">
      <w:start w:val="1"/>
      <w:numFmt w:val="lowerRoman"/>
      <w:lvlText w:val="%9."/>
      <w:lvlJc w:val="right"/>
      <w:pPr>
        <w:ind w:left="6469" w:hanging="180"/>
      </w:pPr>
    </w:lvl>
  </w:abstractNum>
  <w:abstractNum w:abstractNumId="2" w15:restartNumberingAfterBreak="0">
    <w:nsid w:val="14762684"/>
    <w:multiLevelType w:val="hybridMultilevel"/>
    <w:tmpl w:val="146CF07C"/>
    <w:lvl w:ilvl="0" w:tplc="30604F56">
      <w:start w:val="1"/>
      <w:numFmt w:val="lowerLetter"/>
      <w:lvlText w:val="(%1)"/>
      <w:lvlJc w:val="left"/>
      <w:pPr>
        <w:ind w:left="2064" w:hanging="360"/>
      </w:pPr>
      <w:rPr>
        <w:rFonts w:hint="default"/>
      </w:rPr>
    </w:lvl>
    <w:lvl w:ilvl="1" w:tplc="14090019" w:tentative="1">
      <w:start w:val="1"/>
      <w:numFmt w:val="lowerLetter"/>
      <w:lvlText w:val="%2."/>
      <w:lvlJc w:val="left"/>
      <w:pPr>
        <w:ind w:left="2784" w:hanging="360"/>
      </w:pPr>
    </w:lvl>
    <w:lvl w:ilvl="2" w:tplc="1409001B" w:tentative="1">
      <w:start w:val="1"/>
      <w:numFmt w:val="lowerRoman"/>
      <w:lvlText w:val="%3."/>
      <w:lvlJc w:val="right"/>
      <w:pPr>
        <w:ind w:left="3504" w:hanging="180"/>
      </w:pPr>
    </w:lvl>
    <w:lvl w:ilvl="3" w:tplc="1409000F" w:tentative="1">
      <w:start w:val="1"/>
      <w:numFmt w:val="decimal"/>
      <w:lvlText w:val="%4."/>
      <w:lvlJc w:val="left"/>
      <w:pPr>
        <w:ind w:left="4224" w:hanging="360"/>
      </w:pPr>
    </w:lvl>
    <w:lvl w:ilvl="4" w:tplc="14090019" w:tentative="1">
      <w:start w:val="1"/>
      <w:numFmt w:val="lowerLetter"/>
      <w:lvlText w:val="%5."/>
      <w:lvlJc w:val="left"/>
      <w:pPr>
        <w:ind w:left="4944" w:hanging="360"/>
      </w:pPr>
    </w:lvl>
    <w:lvl w:ilvl="5" w:tplc="1409001B" w:tentative="1">
      <w:start w:val="1"/>
      <w:numFmt w:val="lowerRoman"/>
      <w:lvlText w:val="%6."/>
      <w:lvlJc w:val="right"/>
      <w:pPr>
        <w:ind w:left="5664" w:hanging="180"/>
      </w:pPr>
    </w:lvl>
    <w:lvl w:ilvl="6" w:tplc="1409000F" w:tentative="1">
      <w:start w:val="1"/>
      <w:numFmt w:val="decimal"/>
      <w:lvlText w:val="%7."/>
      <w:lvlJc w:val="left"/>
      <w:pPr>
        <w:ind w:left="6384" w:hanging="360"/>
      </w:pPr>
    </w:lvl>
    <w:lvl w:ilvl="7" w:tplc="14090019" w:tentative="1">
      <w:start w:val="1"/>
      <w:numFmt w:val="lowerLetter"/>
      <w:lvlText w:val="%8."/>
      <w:lvlJc w:val="left"/>
      <w:pPr>
        <w:ind w:left="7104" w:hanging="360"/>
      </w:pPr>
    </w:lvl>
    <w:lvl w:ilvl="8" w:tplc="1409001B" w:tentative="1">
      <w:start w:val="1"/>
      <w:numFmt w:val="lowerRoman"/>
      <w:lvlText w:val="%9."/>
      <w:lvlJc w:val="right"/>
      <w:pPr>
        <w:ind w:left="7824" w:hanging="180"/>
      </w:pPr>
    </w:lvl>
  </w:abstractNum>
  <w:abstractNum w:abstractNumId="3" w15:restartNumberingAfterBreak="0">
    <w:nsid w:val="161270C5"/>
    <w:multiLevelType w:val="hybridMultilevel"/>
    <w:tmpl w:val="00C616FC"/>
    <w:lvl w:ilvl="0" w:tplc="80B2B794">
      <w:start w:val="2"/>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 w15:restartNumberingAfterBreak="0">
    <w:nsid w:val="220D15C3"/>
    <w:multiLevelType w:val="hybridMultilevel"/>
    <w:tmpl w:val="1C1E2AD8"/>
    <w:lvl w:ilvl="0" w:tplc="4D226962">
      <w:start w:val="1"/>
      <w:numFmt w:val="low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595C14"/>
    <w:multiLevelType w:val="hybridMultilevel"/>
    <w:tmpl w:val="5ACA4FE0"/>
    <w:lvl w:ilvl="0" w:tplc="CBAE79FC">
      <w:start w:val="1"/>
      <w:numFmt w:val="lowerRoman"/>
      <w:lvlText w:val="(%1)"/>
      <w:lvlJc w:val="left"/>
      <w:pPr>
        <w:ind w:left="2602" w:hanging="720"/>
      </w:pPr>
      <w:rPr>
        <w:rFonts w:hint="default"/>
      </w:rPr>
    </w:lvl>
    <w:lvl w:ilvl="1" w:tplc="14090019" w:tentative="1">
      <w:start w:val="1"/>
      <w:numFmt w:val="lowerLetter"/>
      <w:lvlText w:val="%2."/>
      <w:lvlJc w:val="left"/>
      <w:pPr>
        <w:ind w:left="2962" w:hanging="360"/>
      </w:pPr>
    </w:lvl>
    <w:lvl w:ilvl="2" w:tplc="1409001B" w:tentative="1">
      <w:start w:val="1"/>
      <w:numFmt w:val="lowerRoman"/>
      <w:lvlText w:val="%3."/>
      <w:lvlJc w:val="right"/>
      <w:pPr>
        <w:ind w:left="3682" w:hanging="180"/>
      </w:pPr>
    </w:lvl>
    <w:lvl w:ilvl="3" w:tplc="1409000F" w:tentative="1">
      <w:start w:val="1"/>
      <w:numFmt w:val="decimal"/>
      <w:lvlText w:val="%4."/>
      <w:lvlJc w:val="left"/>
      <w:pPr>
        <w:ind w:left="4402" w:hanging="360"/>
      </w:pPr>
    </w:lvl>
    <w:lvl w:ilvl="4" w:tplc="14090019" w:tentative="1">
      <w:start w:val="1"/>
      <w:numFmt w:val="lowerLetter"/>
      <w:lvlText w:val="%5."/>
      <w:lvlJc w:val="left"/>
      <w:pPr>
        <w:ind w:left="5122" w:hanging="360"/>
      </w:pPr>
    </w:lvl>
    <w:lvl w:ilvl="5" w:tplc="1409001B" w:tentative="1">
      <w:start w:val="1"/>
      <w:numFmt w:val="lowerRoman"/>
      <w:lvlText w:val="%6."/>
      <w:lvlJc w:val="right"/>
      <w:pPr>
        <w:ind w:left="5842" w:hanging="180"/>
      </w:pPr>
    </w:lvl>
    <w:lvl w:ilvl="6" w:tplc="1409000F" w:tentative="1">
      <w:start w:val="1"/>
      <w:numFmt w:val="decimal"/>
      <w:lvlText w:val="%7."/>
      <w:lvlJc w:val="left"/>
      <w:pPr>
        <w:ind w:left="6562" w:hanging="360"/>
      </w:pPr>
    </w:lvl>
    <w:lvl w:ilvl="7" w:tplc="14090019" w:tentative="1">
      <w:start w:val="1"/>
      <w:numFmt w:val="lowerLetter"/>
      <w:lvlText w:val="%8."/>
      <w:lvlJc w:val="left"/>
      <w:pPr>
        <w:ind w:left="7282" w:hanging="360"/>
      </w:pPr>
    </w:lvl>
    <w:lvl w:ilvl="8" w:tplc="1409001B" w:tentative="1">
      <w:start w:val="1"/>
      <w:numFmt w:val="lowerRoman"/>
      <w:lvlText w:val="%9."/>
      <w:lvlJc w:val="right"/>
      <w:pPr>
        <w:ind w:left="8002" w:hanging="180"/>
      </w:pPr>
    </w:lvl>
  </w:abstractNum>
  <w:abstractNum w:abstractNumId="6" w15:restartNumberingAfterBreak="0">
    <w:nsid w:val="4CD373E3"/>
    <w:multiLevelType w:val="hybridMultilevel"/>
    <w:tmpl w:val="2DF8E2B8"/>
    <w:lvl w:ilvl="0" w:tplc="4D3EC2FA">
      <w:start w:val="1"/>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7" w15:restartNumberingAfterBreak="0">
    <w:nsid w:val="51A0277A"/>
    <w:multiLevelType w:val="hybridMultilevel"/>
    <w:tmpl w:val="146CF07C"/>
    <w:lvl w:ilvl="0" w:tplc="30604F56">
      <w:start w:val="1"/>
      <w:numFmt w:val="lowerLetter"/>
      <w:lvlText w:val="(%1)"/>
      <w:lvlJc w:val="left"/>
      <w:pPr>
        <w:ind w:left="2832" w:hanging="360"/>
      </w:pPr>
      <w:rPr>
        <w:rFonts w:hint="default"/>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8" w15:restartNumberingAfterBreak="0">
    <w:nsid w:val="642F3905"/>
    <w:multiLevelType w:val="hybridMultilevel"/>
    <w:tmpl w:val="5ACA4FE0"/>
    <w:lvl w:ilvl="0" w:tplc="CBAE79FC">
      <w:start w:val="1"/>
      <w:numFmt w:val="lowerRoman"/>
      <w:lvlText w:val="(%1)"/>
      <w:lvlJc w:val="left"/>
      <w:pPr>
        <w:ind w:left="2602" w:hanging="720"/>
      </w:pPr>
      <w:rPr>
        <w:rFonts w:hint="default"/>
      </w:rPr>
    </w:lvl>
    <w:lvl w:ilvl="1" w:tplc="14090019" w:tentative="1">
      <w:start w:val="1"/>
      <w:numFmt w:val="lowerLetter"/>
      <w:lvlText w:val="%2."/>
      <w:lvlJc w:val="left"/>
      <w:pPr>
        <w:ind w:left="2962" w:hanging="360"/>
      </w:pPr>
    </w:lvl>
    <w:lvl w:ilvl="2" w:tplc="1409001B" w:tentative="1">
      <w:start w:val="1"/>
      <w:numFmt w:val="lowerRoman"/>
      <w:lvlText w:val="%3."/>
      <w:lvlJc w:val="right"/>
      <w:pPr>
        <w:ind w:left="3682" w:hanging="180"/>
      </w:pPr>
    </w:lvl>
    <w:lvl w:ilvl="3" w:tplc="1409000F" w:tentative="1">
      <w:start w:val="1"/>
      <w:numFmt w:val="decimal"/>
      <w:lvlText w:val="%4."/>
      <w:lvlJc w:val="left"/>
      <w:pPr>
        <w:ind w:left="4402" w:hanging="360"/>
      </w:pPr>
    </w:lvl>
    <w:lvl w:ilvl="4" w:tplc="14090019" w:tentative="1">
      <w:start w:val="1"/>
      <w:numFmt w:val="lowerLetter"/>
      <w:lvlText w:val="%5."/>
      <w:lvlJc w:val="left"/>
      <w:pPr>
        <w:ind w:left="5122" w:hanging="360"/>
      </w:pPr>
    </w:lvl>
    <w:lvl w:ilvl="5" w:tplc="1409001B" w:tentative="1">
      <w:start w:val="1"/>
      <w:numFmt w:val="lowerRoman"/>
      <w:lvlText w:val="%6."/>
      <w:lvlJc w:val="right"/>
      <w:pPr>
        <w:ind w:left="5842" w:hanging="180"/>
      </w:pPr>
    </w:lvl>
    <w:lvl w:ilvl="6" w:tplc="1409000F" w:tentative="1">
      <w:start w:val="1"/>
      <w:numFmt w:val="decimal"/>
      <w:lvlText w:val="%7."/>
      <w:lvlJc w:val="left"/>
      <w:pPr>
        <w:ind w:left="6562" w:hanging="360"/>
      </w:pPr>
    </w:lvl>
    <w:lvl w:ilvl="7" w:tplc="14090019" w:tentative="1">
      <w:start w:val="1"/>
      <w:numFmt w:val="lowerLetter"/>
      <w:lvlText w:val="%8."/>
      <w:lvlJc w:val="left"/>
      <w:pPr>
        <w:ind w:left="7282" w:hanging="360"/>
      </w:pPr>
    </w:lvl>
    <w:lvl w:ilvl="8" w:tplc="1409001B" w:tentative="1">
      <w:start w:val="1"/>
      <w:numFmt w:val="lowerRoman"/>
      <w:lvlText w:val="%9."/>
      <w:lvlJc w:val="right"/>
      <w:pPr>
        <w:ind w:left="8002" w:hanging="180"/>
      </w:pPr>
    </w:lvl>
  </w:abstractNum>
  <w:num w:numId="1">
    <w:abstractNumId w:val="0"/>
  </w:num>
  <w:num w:numId="2">
    <w:abstractNumId w:val="2"/>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03"/>
    <w:rsid w:val="00033359"/>
    <w:rsid w:val="001018D5"/>
    <w:rsid w:val="001342B9"/>
    <w:rsid w:val="00137880"/>
    <w:rsid w:val="00144A20"/>
    <w:rsid w:val="00177A8E"/>
    <w:rsid w:val="001A190E"/>
    <w:rsid w:val="001C6046"/>
    <w:rsid w:val="001E1E6D"/>
    <w:rsid w:val="0024279A"/>
    <w:rsid w:val="002F4236"/>
    <w:rsid w:val="00345A4E"/>
    <w:rsid w:val="003A0C80"/>
    <w:rsid w:val="003C44F4"/>
    <w:rsid w:val="003F3B5B"/>
    <w:rsid w:val="0040695A"/>
    <w:rsid w:val="004A2303"/>
    <w:rsid w:val="005D29A7"/>
    <w:rsid w:val="0063689E"/>
    <w:rsid w:val="006A05B4"/>
    <w:rsid w:val="00721552"/>
    <w:rsid w:val="00727F16"/>
    <w:rsid w:val="007B0923"/>
    <w:rsid w:val="007F3B05"/>
    <w:rsid w:val="008073AF"/>
    <w:rsid w:val="0081391B"/>
    <w:rsid w:val="00830538"/>
    <w:rsid w:val="0085031B"/>
    <w:rsid w:val="00876FF6"/>
    <w:rsid w:val="00887DDB"/>
    <w:rsid w:val="00923A8A"/>
    <w:rsid w:val="009311F2"/>
    <w:rsid w:val="00952917"/>
    <w:rsid w:val="00990FD0"/>
    <w:rsid w:val="0099407D"/>
    <w:rsid w:val="009E0121"/>
    <w:rsid w:val="009E173F"/>
    <w:rsid w:val="00A53E0B"/>
    <w:rsid w:val="00A54B5C"/>
    <w:rsid w:val="00AF3891"/>
    <w:rsid w:val="00AF3ABA"/>
    <w:rsid w:val="00B718B2"/>
    <w:rsid w:val="00BB0880"/>
    <w:rsid w:val="00BE6D66"/>
    <w:rsid w:val="00C3362C"/>
    <w:rsid w:val="00C347BC"/>
    <w:rsid w:val="00C61A34"/>
    <w:rsid w:val="00CB2F05"/>
    <w:rsid w:val="00CE327F"/>
    <w:rsid w:val="00CF3A9D"/>
    <w:rsid w:val="00CF57FF"/>
    <w:rsid w:val="00D70FA1"/>
    <w:rsid w:val="00D73553"/>
    <w:rsid w:val="00D910CE"/>
    <w:rsid w:val="00D933B8"/>
    <w:rsid w:val="00DC6CB4"/>
    <w:rsid w:val="00DF6A3D"/>
    <w:rsid w:val="00E32A29"/>
    <w:rsid w:val="00EB2FAD"/>
    <w:rsid w:val="00F01A19"/>
    <w:rsid w:val="00F21827"/>
    <w:rsid w:val="00FD4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592"/>
  <w15:chartTrackingRefBased/>
  <w15:docId w15:val="{8523AE17-5C79-4792-B6F7-2247C5CA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4A2303"/>
    <w:pPr>
      <w:spacing w:after="240" w:line="240" w:lineRule="auto"/>
      <w:ind w:left="1701" w:hanging="1701"/>
      <w:jc w:val="both"/>
    </w:pPr>
    <w:rPr>
      <w:rFonts w:ascii="Arial" w:eastAsia="Times New Roman" w:hAnsi="Arial" w:cs="Times New Roman"/>
      <w:sz w:val="20"/>
      <w:szCs w:val="20"/>
    </w:rPr>
  </w:style>
  <w:style w:type="paragraph" w:styleId="ListParagraph">
    <w:name w:val="List Paragraph"/>
    <w:basedOn w:val="Normal"/>
    <w:uiPriority w:val="34"/>
    <w:qFormat/>
    <w:rsid w:val="00C61A34"/>
    <w:pPr>
      <w:ind w:left="720"/>
      <w:contextualSpacing/>
    </w:pPr>
  </w:style>
  <w:style w:type="character" w:styleId="CommentReference">
    <w:name w:val="annotation reference"/>
    <w:semiHidden/>
    <w:rsid w:val="00C61A34"/>
    <w:rPr>
      <w:sz w:val="16"/>
    </w:rPr>
  </w:style>
  <w:style w:type="paragraph" w:styleId="CommentText">
    <w:name w:val="annotation text"/>
    <w:basedOn w:val="Normal"/>
    <w:link w:val="CommentTextChar"/>
    <w:semiHidden/>
    <w:rsid w:val="00C61A3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61A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61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34"/>
    <w:rPr>
      <w:rFonts w:ascii="Segoe UI" w:hAnsi="Segoe UI" w:cs="Segoe UI"/>
      <w:sz w:val="18"/>
      <w:szCs w:val="18"/>
    </w:rPr>
  </w:style>
  <w:style w:type="paragraph" w:customStyle="1" w:styleId="App">
    <w:name w:val="App"/>
    <w:basedOn w:val="Normal"/>
    <w:rsid w:val="00FD479C"/>
    <w:pPr>
      <w:spacing w:after="0" w:line="240" w:lineRule="auto"/>
      <w:jc w:val="center"/>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3553e530edec49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A3763506</value>
    </field>
    <field name="Objective-Title">
      <value order="0">Regional Natural Resources Plan Freshwater Management update March 2021docx</value>
    </field>
    <field name="Objective-Description">
      <value order="0"/>
    </field>
    <field name="Objective-CreationStamp">
      <value order="0">2021-03-23T23:07:25Z</value>
    </field>
    <field name="Objective-IsApproved">
      <value order="0">false</value>
    </field>
    <field name="Objective-IsPublished">
      <value order="0">true</value>
    </field>
    <field name="Objective-DatePublished">
      <value order="0">2021-03-24T02:20:06Z</value>
    </field>
    <field name="Objective-ModificationStamp">
      <value order="0">2021-03-24T02:20:17Z</value>
    </field>
    <field name="Objective-Owner">
      <value order="0">Jo Watts</value>
    </field>
    <field name="Objective-Path">
      <value order="0">EasyInfo Global Folder:'Virtual Filing Cabinet':Strategic Leadership:Resource Management Act Policy and Plans:Regional Natural Resources Plan:. Regional Natural Resources Plan:Regional Natural Resources Variations, Plan Changes and Updates:Update 3 - RNRP insertion of NPSFM2020 clauses 3.21(1) 3.24(1) and 3.26(1) Plus PC17 Awatarariki Fanhead:NPSFM Clauses</value>
    </field>
    <field name="Objective-Parent">
      <value order="0">NPSFM Clauses</value>
    </field>
    <field name="Objective-State">
      <value order="0">Published</value>
    </field>
    <field name="Objective-VersionId">
      <value order="0">vA5696614</value>
    </field>
    <field name="Objective-Version">
      <value order="0">1.0</value>
    </field>
    <field name="Objective-VersionNumber">
      <value order="0">2</value>
    </field>
    <field name="Objective-VersionComment">
      <value order="0"/>
    </field>
    <field name="Objective-FileNumber">
      <value order="0">7.00898</value>
    </field>
    <field name="Objective-Classification">
      <value order="0">Public Access</value>
    </field>
    <field name="Objective-Caveats">
      <value order="0"/>
    </field>
  </systemFields>
  <catalogues>
    <catalogue name="Graph, Chart, Drawing, Diagram, Map Type Catalogue" type="type" ori="id:cA11">
      <field name="Objective-Reference">
        <value order="0"/>
      </field>
      <field name="Objective-Reference Sourc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2DB4752-B53F-4678-93B7-C899BF1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802</Words>
  <Characters>4412</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Watts</dc:creator>
  <cp:keywords/>
  <dc:description/>
  <cp:lastModifiedBy>Jo Watts</cp:lastModifiedBy>
  <cp:revision>6</cp:revision>
  <dcterms:created xsi:type="dcterms:W3CDTF">2021-03-23T22:01:00Z</dcterms:created>
  <dcterms:modified xsi:type="dcterms:W3CDTF">2021-03-23T23:10:00Z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A3763506</vt:lpwstr>
  </property>
  <property fmtid="{D5CDD505-2E9C-101B-9397-08002B2CF9AE}" pid="4" name="Objective-Title">
    <vt:lpwstr>Regional Natural Resources Plan Freshwater Management update March 2021docx</vt:lpwstr>
  </property>
  <property fmtid="{D5CDD505-2E9C-101B-9397-08002B2CF9AE}" pid="5" name="Objective-Description">
    <vt:lpwstr/>
  </property>
  <property fmtid="{D5CDD505-2E9C-101B-9397-08002B2CF9AE}" pid="6" name="Objective-CreationStamp">
    <vt:filetime>2021-03-23T23:07:25Z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2021-03-24T02:20:06Z</vt:filetime>
  </property>
  <property fmtid="{D5CDD505-2E9C-101B-9397-08002B2CF9AE}" pid="10" name="Objective-ModificationStamp">
    <vt:filetime>2021-03-24T02:20:17Z</vt:filetime>
  </property>
  <property fmtid="{D5CDD505-2E9C-101B-9397-08002B2CF9AE}" pid="11" name="Objective-Owner">
    <vt:lpwstr>Jo Watts</vt:lpwstr>
  </property>
  <property fmtid="{D5CDD505-2E9C-101B-9397-08002B2CF9AE}" pid="12" name="Objective-Path">
    <vt:lpwstr>EasyInfo Global Folder:'Virtual Filing Cabinet':Strategic Leadership:Resource Management Act Policy and Plans:Regional Natural Resources Plan:. Regional Natural Resources Plan:Regional Natural Resources Variations, Plan Changes and Updates:Update 3 - RNRP insertion of NPSFM2020 clauses 3.21(1) 3.24(1) and 3.26(1) Plus PC17 Awatarariki Fanhead:NPSFM Clauses</vt:lpwstr>
  </property>
  <property fmtid="{D5CDD505-2E9C-101B-9397-08002B2CF9AE}" pid="13" name="Objective-Parent">
    <vt:lpwstr>NPSFM Clauses</vt:lpwstr>
  </property>
  <property fmtid="{D5CDD505-2E9C-101B-9397-08002B2CF9AE}" pid="14" name="Objective-State">
    <vt:lpwstr>Published</vt:lpwstr>
  </property>
  <property fmtid="{D5CDD505-2E9C-101B-9397-08002B2CF9AE}" pid="15" name="Objective-VersionId">
    <vt:lpwstr>vA5696614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7.00898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Reference">
    <vt:lpwstr/>
  </property>
  <property fmtid="{D5CDD505-2E9C-101B-9397-08002B2CF9AE}" pid="23" name="Objective-Reference Source">
    <vt:lpwstr/>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ies>
</file>