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3E5A2" w14:textId="6C1C70C6" w:rsidR="00C56902" w:rsidRDefault="00C56902">
      <w:pPr>
        <w:rPr>
          <w:lang w:val="en-US"/>
        </w:rPr>
      </w:pPr>
      <w:proofErr w:type="spellStart"/>
      <w:r>
        <w:rPr>
          <w:lang w:val="en-US"/>
        </w:rPr>
        <w:t>BoPRC</w:t>
      </w:r>
      <w:proofErr w:type="spellEnd"/>
      <w:r>
        <w:rPr>
          <w:lang w:val="en-US"/>
        </w:rPr>
        <w:t>:  Genera, Tauranga: Text of Email re Response to s92 Request for Further Information, 16 June 2020</w:t>
      </w:r>
    </w:p>
    <w:p w14:paraId="1A1F4A87" w14:textId="59BCF89D" w:rsidR="00C56902" w:rsidRDefault="00C56902">
      <w:pPr>
        <w:rPr>
          <w:lang w:val="en-US"/>
        </w:rPr>
      </w:pPr>
    </w:p>
    <w:p w14:paraId="41423F75"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Morena David</w:t>
      </w:r>
    </w:p>
    <w:p w14:paraId="258938D5" w14:textId="77777777" w:rsidR="00C56902" w:rsidRPr="00C56902" w:rsidRDefault="00C56902" w:rsidP="00C56902">
      <w:pPr>
        <w:spacing w:after="0" w:line="240" w:lineRule="auto"/>
        <w:rPr>
          <w:rFonts w:ascii="Calibri" w:eastAsia="Calibri" w:hAnsi="Calibri" w:cs="Times New Roman"/>
        </w:rPr>
      </w:pPr>
    </w:p>
    <w:p w14:paraId="1C56083E"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I have now gone through the information you on-forwarded.  There is:</w:t>
      </w:r>
    </w:p>
    <w:p w14:paraId="2B86E33A" w14:textId="77777777" w:rsidR="00C56902" w:rsidRPr="00C56902" w:rsidRDefault="00C56902" w:rsidP="00C56902">
      <w:pPr>
        <w:spacing w:after="0" w:line="240" w:lineRule="auto"/>
        <w:rPr>
          <w:rFonts w:ascii="Calibri" w:eastAsia="Calibri" w:hAnsi="Calibri" w:cs="Times New Roman"/>
        </w:rPr>
      </w:pPr>
    </w:p>
    <w:p w14:paraId="70C80474" w14:textId="77777777" w:rsidR="00C56902" w:rsidRPr="00C56902" w:rsidRDefault="00C56902" w:rsidP="00C56902">
      <w:pPr>
        <w:numPr>
          <w:ilvl w:val="0"/>
          <w:numId w:val="1"/>
        </w:numPr>
        <w:spacing w:after="0" w:line="240" w:lineRule="auto"/>
        <w:rPr>
          <w:rFonts w:ascii="Calibri" w:eastAsia="Calibri" w:hAnsi="Calibri" w:cs="Times New Roman"/>
        </w:rPr>
      </w:pPr>
      <w:r w:rsidRPr="00C56902">
        <w:rPr>
          <w:rFonts w:ascii="Calibri" w:eastAsia="Calibri" w:hAnsi="Calibri" w:cs="Times New Roman"/>
        </w:rPr>
        <w:t xml:space="preserve">a Beca response letter dated 5 June </w:t>
      </w:r>
      <w:proofErr w:type="gramStart"/>
      <w:r w:rsidRPr="00C56902">
        <w:rPr>
          <w:rFonts w:ascii="Calibri" w:eastAsia="Calibri" w:hAnsi="Calibri" w:cs="Times New Roman"/>
        </w:rPr>
        <w:t>2020;</w:t>
      </w:r>
      <w:proofErr w:type="gramEnd"/>
      <w:r w:rsidRPr="00C56902">
        <w:rPr>
          <w:rFonts w:ascii="Calibri" w:eastAsia="Calibri" w:hAnsi="Calibri" w:cs="Times New Roman"/>
        </w:rPr>
        <w:t xml:space="preserve"> </w:t>
      </w:r>
    </w:p>
    <w:p w14:paraId="445FD4EB" w14:textId="77777777" w:rsidR="00C56902" w:rsidRPr="00C56902" w:rsidRDefault="00C56902" w:rsidP="00C56902">
      <w:pPr>
        <w:spacing w:after="0" w:line="240" w:lineRule="auto"/>
        <w:rPr>
          <w:rFonts w:ascii="Calibri" w:eastAsia="Calibri" w:hAnsi="Calibri" w:cs="Times New Roman"/>
        </w:rPr>
      </w:pPr>
    </w:p>
    <w:p w14:paraId="2B782219" w14:textId="77777777" w:rsidR="00C56902" w:rsidRPr="00C56902" w:rsidRDefault="00C56902" w:rsidP="00C56902">
      <w:pPr>
        <w:numPr>
          <w:ilvl w:val="0"/>
          <w:numId w:val="1"/>
        </w:numPr>
        <w:spacing w:after="0" w:line="240" w:lineRule="auto"/>
        <w:rPr>
          <w:rFonts w:ascii="Calibri" w:eastAsia="Calibri" w:hAnsi="Calibri" w:cs="Times New Roman"/>
        </w:rPr>
      </w:pPr>
      <w:r w:rsidRPr="00C56902">
        <w:rPr>
          <w:rFonts w:ascii="Calibri" w:eastAsia="Calibri" w:hAnsi="Calibri" w:cs="Times New Roman"/>
        </w:rPr>
        <w:t xml:space="preserve">an ESR letter date 16 January </w:t>
      </w:r>
      <w:proofErr w:type="gramStart"/>
      <w:r w:rsidRPr="00C56902">
        <w:rPr>
          <w:rFonts w:ascii="Calibri" w:eastAsia="Calibri" w:hAnsi="Calibri" w:cs="Times New Roman"/>
        </w:rPr>
        <w:t>2020;</w:t>
      </w:r>
      <w:proofErr w:type="gramEnd"/>
      <w:r w:rsidRPr="00C56902">
        <w:rPr>
          <w:rFonts w:ascii="Calibri" w:eastAsia="Calibri" w:hAnsi="Calibri" w:cs="Times New Roman"/>
        </w:rPr>
        <w:t xml:space="preserve"> </w:t>
      </w:r>
    </w:p>
    <w:p w14:paraId="3AC0F40C" w14:textId="77777777" w:rsidR="00C56902" w:rsidRPr="00C56902" w:rsidRDefault="00C56902" w:rsidP="00C56902">
      <w:pPr>
        <w:spacing w:after="0" w:line="240" w:lineRule="auto"/>
        <w:rPr>
          <w:rFonts w:ascii="Calibri" w:eastAsia="Calibri" w:hAnsi="Calibri" w:cs="Times New Roman"/>
        </w:rPr>
      </w:pPr>
    </w:p>
    <w:p w14:paraId="175F3778" w14:textId="77777777" w:rsidR="00C56902" w:rsidRPr="00C56902" w:rsidRDefault="00C56902" w:rsidP="00C56902">
      <w:pPr>
        <w:numPr>
          <w:ilvl w:val="0"/>
          <w:numId w:val="1"/>
        </w:numPr>
        <w:spacing w:after="0" w:line="240" w:lineRule="auto"/>
        <w:rPr>
          <w:rFonts w:ascii="Calibri" w:eastAsia="Calibri" w:hAnsi="Calibri" w:cs="Times New Roman"/>
        </w:rPr>
      </w:pPr>
      <w:r w:rsidRPr="00C56902">
        <w:rPr>
          <w:rFonts w:ascii="Calibri" w:eastAsia="Calibri" w:hAnsi="Calibri" w:cs="Times New Roman"/>
        </w:rPr>
        <w:t xml:space="preserve">a resend of a July 2019 (not the most recent) Recapture Monitoring </w:t>
      </w:r>
      <w:proofErr w:type="gramStart"/>
      <w:r w:rsidRPr="00C56902">
        <w:rPr>
          <w:rFonts w:ascii="Calibri" w:eastAsia="Calibri" w:hAnsi="Calibri" w:cs="Times New Roman"/>
        </w:rPr>
        <w:t>report;</w:t>
      </w:r>
      <w:proofErr w:type="gramEnd"/>
    </w:p>
    <w:p w14:paraId="3ADFB888" w14:textId="77777777" w:rsidR="00C56902" w:rsidRPr="00C56902" w:rsidRDefault="00C56902" w:rsidP="00C56902">
      <w:pPr>
        <w:spacing w:after="0" w:line="240" w:lineRule="auto"/>
        <w:rPr>
          <w:rFonts w:ascii="Calibri" w:eastAsia="Calibri" w:hAnsi="Calibri" w:cs="Times New Roman"/>
        </w:rPr>
      </w:pPr>
    </w:p>
    <w:p w14:paraId="33B70D41" w14:textId="77777777" w:rsidR="00C56902" w:rsidRPr="00C56902" w:rsidRDefault="00C56902" w:rsidP="00C56902">
      <w:pPr>
        <w:numPr>
          <w:ilvl w:val="0"/>
          <w:numId w:val="1"/>
        </w:numPr>
        <w:spacing w:after="0" w:line="240" w:lineRule="auto"/>
        <w:rPr>
          <w:rFonts w:ascii="Calibri" w:eastAsia="Calibri" w:hAnsi="Calibri" w:cs="Times New Roman"/>
        </w:rPr>
      </w:pPr>
      <w:r w:rsidRPr="00C56902">
        <w:rPr>
          <w:rFonts w:ascii="Calibri" w:eastAsia="Calibri" w:hAnsi="Calibri" w:cs="Times New Roman"/>
        </w:rPr>
        <w:t xml:space="preserve">a draft Beca Discharges to Air Report for Port Nelson dated 23 January </w:t>
      </w:r>
      <w:proofErr w:type="gramStart"/>
      <w:r w:rsidRPr="00C56902">
        <w:rPr>
          <w:rFonts w:ascii="Calibri" w:eastAsia="Calibri" w:hAnsi="Calibri" w:cs="Times New Roman"/>
        </w:rPr>
        <w:t>2020;</w:t>
      </w:r>
      <w:proofErr w:type="gramEnd"/>
    </w:p>
    <w:p w14:paraId="108433E8" w14:textId="77777777" w:rsidR="00C56902" w:rsidRPr="00C56902" w:rsidRDefault="00C56902" w:rsidP="00C56902">
      <w:pPr>
        <w:spacing w:after="0" w:line="240" w:lineRule="auto"/>
        <w:rPr>
          <w:rFonts w:ascii="Calibri" w:eastAsia="Calibri" w:hAnsi="Calibri" w:cs="Times New Roman"/>
        </w:rPr>
      </w:pPr>
    </w:p>
    <w:p w14:paraId="3AC81516" w14:textId="77777777" w:rsidR="00C56902" w:rsidRPr="00C56902" w:rsidRDefault="00C56902" w:rsidP="00C56902">
      <w:pPr>
        <w:numPr>
          <w:ilvl w:val="0"/>
          <w:numId w:val="1"/>
        </w:numPr>
        <w:spacing w:after="0" w:line="240" w:lineRule="auto"/>
        <w:rPr>
          <w:rFonts w:ascii="Calibri" w:eastAsia="Calibri" w:hAnsi="Calibri" w:cs="Times New Roman"/>
        </w:rPr>
      </w:pPr>
      <w:r w:rsidRPr="00C56902">
        <w:rPr>
          <w:rFonts w:ascii="Calibri" w:eastAsia="Calibri" w:hAnsi="Calibri" w:cs="Times New Roman"/>
        </w:rPr>
        <w:t>two Genera Work Instructions and three Safe Operating Procedures (one twice) for the use of Phosphine; and</w:t>
      </w:r>
    </w:p>
    <w:p w14:paraId="28DDC39C" w14:textId="77777777" w:rsidR="00C56902" w:rsidRPr="00C56902" w:rsidRDefault="00C56902" w:rsidP="00C56902">
      <w:pPr>
        <w:spacing w:after="0" w:line="240" w:lineRule="auto"/>
        <w:rPr>
          <w:rFonts w:ascii="Calibri" w:eastAsia="Calibri" w:hAnsi="Calibri" w:cs="Times New Roman"/>
        </w:rPr>
      </w:pPr>
    </w:p>
    <w:p w14:paraId="5EA6109C" w14:textId="77777777" w:rsidR="00C56902" w:rsidRPr="00C56902" w:rsidRDefault="00C56902" w:rsidP="00C56902">
      <w:pPr>
        <w:numPr>
          <w:ilvl w:val="0"/>
          <w:numId w:val="1"/>
        </w:numPr>
        <w:spacing w:after="0" w:line="240" w:lineRule="auto"/>
        <w:rPr>
          <w:rFonts w:ascii="Calibri" w:eastAsia="Calibri" w:hAnsi="Calibri" w:cs="Times New Roman"/>
        </w:rPr>
      </w:pPr>
      <w:r w:rsidRPr="00C56902">
        <w:rPr>
          <w:rFonts w:ascii="Calibri" w:eastAsia="Calibri" w:hAnsi="Calibri" w:cs="Times New Roman"/>
        </w:rPr>
        <w:t>the WorkSafe Workplace Exposure Standards (WES) and Biological Exposure document of November 2019.</w:t>
      </w:r>
    </w:p>
    <w:p w14:paraId="23D821D1" w14:textId="77777777" w:rsidR="00C56902" w:rsidRPr="00C56902" w:rsidRDefault="00C56902" w:rsidP="00C56902">
      <w:pPr>
        <w:spacing w:after="0" w:line="240" w:lineRule="auto"/>
        <w:rPr>
          <w:rFonts w:ascii="Calibri" w:eastAsia="Calibri" w:hAnsi="Calibri" w:cs="Times New Roman"/>
        </w:rPr>
      </w:pPr>
    </w:p>
    <w:p w14:paraId="35960D0B"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Addressing each of those in turn:    </w:t>
      </w:r>
    </w:p>
    <w:p w14:paraId="587F28B9" w14:textId="77777777" w:rsidR="00C56902" w:rsidRPr="00C56902" w:rsidRDefault="00C56902" w:rsidP="00C56902">
      <w:pPr>
        <w:spacing w:after="0" w:line="240" w:lineRule="auto"/>
        <w:rPr>
          <w:rFonts w:ascii="Calibri" w:eastAsia="Calibri" w:hAnsi="Calibri" w:cs="Times New Roman"/>
        </w:rPr>
      </w:pPr>
    </w:p>
    <w:p w14:paraId="214A3739" w14:textId="77777777" w:rsidR="00C56902" w:rsidRPr="00C56902" w:rsidRDefault="00C56902" w:rsidP="00C56902">
      <w:pPr>
        <w:spacing w:after="0" w:line="240" w:lineRule="auto"/>
        <w:rPr>
          <w:rFonts w:ascii="Calibri" w:eastAsia="Calibri" w:hAnsi="Calibri" w:cs="Times New Roman"/>
          <w:u w:val="single"/>
        </w:rPr>
      </w:pPr>
      <w:r w:rsidRPr="00C56902">
        <w:rPr>
          <w:rFonts w:ascii="Calibri" w:eastAsia="Calibri" w:hAnsi="Calibri" w:cs="Times New Roman"/>
          <w:u w:val="single"/>
        </w:rPr>
        <w:t>Beca Response Letter</w:t>
      </w:r>
    </w:p>
    <w:p w14:paraId="37353C68" w14:textId="77777777" w:rsidR="00C56902" w:rsidRPr="00C56902" w:rsidRDefault="00C56902" w:rsidP="00C56902">
      <w:pPr>
        <w:spacing w:after="0" w:line="240" w:lineRule="auto"/>
        <w:rPr>
          <w:rFonts w:ascii="Calibri" w:eastAsia="Calibri" w:hAnsi="Calibri" w:cs="Times New Roman"/>
        </w:rPr>
      </w:pPr>
    </w:p>
    <w:p w14:paraId="105B2C30"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Yes, the Beca letter follows the s92 format, but it does not address </w:t>
      </w:r>
      <w:proofErr w:type="gramStart"/>
      <w:r w:rsidRPr="00C56902">
        <w:rPr>
          <w:rFonts w:ascii="Calibri" w:eastAsia="Calibri" w:hAnsi="Calibri" w:cs="Times New Roman"/>
        </w:rPr>
        <w:t>all of</w:t>
      </w:r>
      <w:proofErr w:type="gramEnd"/>
      <w:r w:rsidRPr="00C56902">
        <w:rPr>
          <w:rFonts w:ascii="Calibri" w:eastAsia="Calibri" w:hAnsi="Calibri" w:cs="Times New Roman"/>
        </w:rPr>
        <w:t xml:space="preserve"> the requests made and some of the matters that it does address are done so in a cursory manner with incomplete information.  The request for further information, sent as a letter via email on 16 December 2019, is not extensive.  Also, some of the matters included, such as those related to occupational matters, are probably not relevant to an application for a Discharges into Air Permit. </w:t>
      </w:r>
    </w:p>
    <w:p w14:paraId="14BAEF14" w14:textId="77777777" w:rsidR="00C56902" w:rsidRPr="00C56902" w:rsidRDefault="00C56902" w:rsidP="00C56902">
      <w:pPr>
        <w:spacing w:after="0" w:line="240" w:lineRule="auto"/>
        <w:rPr>
          <w:rFonts w:ascii="Calibri" w:eastAsia="Calibri" w:hAnsi="Calibri" w:cs="Times New Roman"/>
        </w:rPr>
      </w:pPr>
    </w:p>
    <w:p w14:paraId="62728A3C"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Of fundamental importance to an application for a Discharges into Air Permit are the nature of the activities for which approval is sought, the activity levels, and assessments of potential effects.  Hence the s92 request specifically asked, as the first item, for that information on each of the fumigants.  The response is “To be completed separately”.</w:t>
      </w:r>
    </w:p>
    <w:p w14:paraId="5F2E13EF" w14:textId="77777777" w:rsidR="00C56902" w:rsidRPr="00C56902" w:rsidRDefault="00C56902" w:rsidP="00C56902">
      <w:pPr>
        <w:spacing w:after="0" w:line="240" w:lineRule="auto"/>
        <w:rPr>
          <w:rFonts w:ascii="Calibri" w:eastAsia="Calibri" w:hAnsi="Calibri" w:cs="Times New Roman"/>
        </w:rPr>
      </w:pPr>
    </w:p>
    <w:p w14:paraId="05BFA67F"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As with most other significant applications for Discharges into Air Permits the application made on 29 October 2019 includes atmospheric dispersion modelling of the discharges.  For such modelling to have credibility the discharge data must be of a high quality.  The s92 request for further information </w:t>
      </w:r>
      <w:proofErr w:type="gramStart"/>
      <w:r w:rsidRPr="00C56902">
        <w:rPr>
          <w:rFonts w:ascii="Calibri" w:eastAsia="Calibri" w:hAnsi="Calibri" w:cs="Times New Roman"/>
        </w:rPr>
        <w:t>specifically  asked</w:t>
      </w:r>
      <w:proofErr w:type="gramEnd"/>
      <w:r w:rsidRPr="00C56902">
        <w:rPr>
          <w:rFonts w:ascii="Calibri" w:eastAsia="Calibri" w:hAnsi="Calibri" w:cs="Times New Roman"/>
        </w:rPr>
        <w:t xml:space="preserve"> about aspects of the Discharge Data.  The response is “To be completed”.</w:t>
      </w:r>
    </w:p>
    <w:p w14:paraId="2463147B" w14:textId="77777777" w:rsidR="00C56902" w:rsidRPr="00C56902" w:rsidRDefault="00C56902" w:rsidP="00C56902">
      <w:pPr>
        <w:spacing w:after="0" w:line="240" w:lineRule="auto"/>
        <w:rPr>
          <w:rFonts w:ascii="Calibri" w:eastAsia="Calibri" w:hAnsi="Calibri" w:cs="Times New Roman"/>
        </w:rPr>
      </w:pPr>
    </w:p>
    <w:p w14:paraId="08156AF5" w14:textId="77777777" w:rsidR="00C56902" w:rsidRPr="00C56902" w:rsidRDefault="00C56902" w:rsidP="00C56902">
      <w:pPr>
        <w:spacing w:after="0" w:line="240" w:lineRule="auto"/>
        <w:rPr>
          <w:rFonts w:ascii="Calibri" w:eastAsia="Calibri" w:hAnsi="Calibri" w:cs="Times New Roman"/>
        </w:rPr>
      </w:pPr>
      <w:proofErr w:type="gramStart"/>
      <w:r w:rsidRPr="00C56902">
        <w:rPr>
          <w:rFonts w:ascii="Calibri" w:eastAsia="Calibri" w:hAnsi="Calibri" w:cs="Times New Roman"/>
        </w:rPr>
        <w:t>Similarly</w:t>
      </w:r>
      <w:proofErr w:type="gramEnd"/>
      <w:r w:rsidRPr="00C56902">
        <w:rPr>
          <w:rFonts w:ascii="Calibri" w:eastAsia="Calibri" w:hAnsi="Calibri" w:cs="Times New Roman"/>
        </w:rPr>
        <w:t xml:space="preserve"> the response to the request for the Cultural Effects Assessment is “To be completed”.</w:t>
      </w:r>
    </w:p>
    <w:p w14:paraId="38B4FC4A" w14:textId="77777777" w:rsidR="00C56902" w:rsidRPr="00C56902" w:rsidRDefault="00C56902" w:rsidP="00C56902">
      <w:pPr>
        <w:spacing w:after="0" w:line="240" w:lineRule="auto"/>
        <w:rPr>
          <w:rFonts w:ascii="Calibri" w:eastAsia="Calibri" w:hAnsi="Calibri" w:cs="Times New Roman"/>
        </w:rPr>
      </w:pPr>
    </w:p>
    <w:p w14:paraId="123F8112"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The modelling is also “To be completed”.  To repeat, for the modelling to have credibility the discharge data that it uses must be of a high quality.  </w:t>
      </w:r>
    </w:p>
    <w:p w14:paraId="29474F61" w14:textId="77777777" w:rsidR="00C56902" w:rsidRPr="00C56902" w:rsidRDefault="00C56902" w:rsidP="00C56902">
      <w:pPr>
        <w:spacing w:after="0" w:line="240" w:lineRule="auto"/>
        <w:rPr>
          <w:rFonts w:ascii="Calibri" w:eastAsia="Calibri" w:hAnsi="Calibri" w:cs="Times New Roman"/>
        </w:rPr>
      </w:pPr>
    </w:p>
    <w:p w14:paraId="2FBD0CCA"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Of particular interest to me are the responses to Section 11 of the request for further information ‘Assessment of Alternatives’.  Not included there are matters that I raised in my preliminary report dated 16 December 2019 and in emails around that time.  Maybe that information has not been </w:t>
      </w:r>
      <w:r w:rsidRPr="00C56902">
        <w:rPr>
          <w:rFonts w:ascii="Calibri" w:eastAsia="Calibri" w:hAnsi="Calibri" w:cs="Times New Roman"/>
        </w:rPr>
        <w:lastRenderedPageBreak/>
        <w:t>conveyed to Genera.  The most significant of these matters are listed and discussed on page 5 of my report (attached).   They include:</w:t>
      </w:r>
    </w:p>
    <w:p w14:paraId="02A05EFA" w14:textId="77777777" w:rsidR="00C56902" w:rsidRPr="00C56902" w:rsidRDefault="00C56902" w:rsidP="00C56902">
      <w:pPr>
        <w:spacing w:after="0" w:line="240" w:lineRule="auto"/>
        <w:rPr>
          <w:rFonts w:ascii="Calibri" w:eastAsia="Calibri" w:hAnsi="Calibri" w:cs="Times New Roman"/>
        </w:rPr>
      </w:pPr>
    </w:p>
    <w:p w14:paraId="5D685C22" w14:textId="77777777" w:rsidR="00C56902" w:rsidRPr="00C56902" w:rsidRDefault="00C56902" w:rsidP="00C56902">
      <w:pPr>
        <w:numPr>
          <w:ilvl w:val="0"/>
          <w:numId w:val="2"/>
        </w:numPr>
        <w:spacing w:after="0" w:line="240" w:lineRule="auto"/>
        <w:rPr>
          <w:rFonts w:ascii="Calibri" w:eastAsia="Calibri" w:hAnsi="Calibri" w:cs="Times New Roman"/>
        </w:rPr>
      </w:pPr>
      <w:r w:rsidRPr="00C56902">
        <w:rPr>
          <w:rFonts w:ascii="Calibri" w:eastAsia="Calibri" w:hAnsi="Calibri" w:cs="Times New Roman"/>
        </w:rPr>
        <w:t xml:space="preserve">the impact of increased log </w:t>
      </w:r>
      <w:proofErr w:type="gramStart"/>
      <w:r w:rsidRPr="00C56902">
        <w:rPr>
          <w:rFonts w:ascii="Calibri" w:eastAsia="Calibri" w:hAnsi="Calibri" w:cs="Times New Roman"/>
        </w:rPr>
        <w:t>debarking;</w:t>
      </w:r>
      <w:proofErr w:type="gramEnd"/>
    </w:p>
    <w:p w14:paraId="07A370DB" w14:textId="77777777" w:rsidR="00C56902" w:rsidRPr="00C56902" w:rsidRDefault="00C56902" w:rsidP="00C56902">
      <w:pPr>
        <w:spacing w:after="0" w:line="240" w:lineRule="auto"/>
        <w:rPr>
          <w:rFonts w:ascii="Calibri" w:eastAsia="Calibri" w:hAnsi="Calibri" w:cs="Times New Roman"/>
        </w:rPr>
      </w:pPr>
    </w:p>
    <w:p w14:paraId="242D2647" w14:textId="77777777" w:rsidR="00C56902" w:rsidRPr="00C56902" w:rsidRDefault="00C56902" w:rsidP="00C56902">
      <w:pPr>
        <w:numPr>
          <w:ilvl w:val="0"/>
          <w:numId w:val="2"/>
        </w:numPr>
        <w:spacing w:after="0" w:line="240" w:lineRule="auto"/>
        <w:rPr>
          <w:rFonts w:ascii="Calibri" w:eastAsia="Calibri" w:hAnsi="Calibri" w:cs="Times New Roman"/>
        </w:rPr>
      </w:pPr>
      <w:r w:rsidRPr="00C56902">
        <w:rPr>
          <w:rFonts w:ascii="Calibri" w:eastAsia="Calibri" w:hAnsi="Calibri" w:cs="Times New Roman"/>
        </w:rPr>
        <w:t xml:space="preserve">whether there has been progress regarding negotiations with India to permit fumigation using Phosphine (and the concomitant possibility of greater fumigation </w:t>
      </w:r>
      <w:proofErr w:type="gramStart"/>
      <w:r w:rsidRPr="00C56902">
        <w:rPr>
          <w:rFonts w:ascii="Calibri" w:eastAsia="Calibri" w:hAnsi="Calibri" w:cs="Times New Roman"/>
        </w:rPr>
        <w:t>in  the</w:t>
      </w:r>
      <w:proofErr w:type="gramEnd"/>
      <w:r w:rsidRPr="00C56902">
        <w:rPr>
          <w:rFonts w:ascii="Calibri" w:eastAsia="Calibri" w:hAnsi="Calibri" w:cs="Times New Roman"/>
        </w:rPr>
        <w:t xml:space="preserve"> holds of ships in international waters); and </w:t>
      </w:r>
    </w:p>
    <w:p w14:paraId="7322256A" w14:textId="77777777" w:rsidR="00C56902" w:rsidRPr="00C56902" w:rsidRDefault="00C56902" w:rsidP="00C56902">
      <w:pPr>
        <w:spacing w:after="0" w:line="240" w:lineRule="auto"/>
        <w:rPr>
          <w:rFonts w:ascii="Calibri" w:eastAsia="Calibri" w:hAnsi="Calibri" w:cs="Times New Roman"/>
        </w:rPr>
      </w:pPr>
    </w:p>
    <w:p w14:paraId="0002597C" w14:textId="77777777" w:rsidR="00C56902" w:rsidRPr="00C56902" w:rsidRDefault="00C56902" w:rsidP="00C56902">
      <w:pPr>
        <w:numPr>
          <w:ilvl w:val="0"/>
          <w:numId w:val="2"/>
        </w:numPr>
        <w:spacing w:after="0" w:line="240" w:lineRule="auto"/>
        <w:rPr>
          <w:rFonts w:ascii="Calibri" w:eastAsia="Calibri" w:hAnsi="Calibri" w:cs="Times New Roman"/>
        </w:rPr>
      </w:pPr>
      <w:r w:rsidRPr="00C56902">
        <w:rPr>
          <w:rFonts w:ascii="Calibri" w:eastAsia="Calibri" w:hAnsi="Calibri" w:cs="Times New Roman"/>
        </w:rPr>
        <w:t xml:space="preserve">any developments on recapture technology (since the review by Jack Armstrong in June 2019 – referenced as my footnote 4). </w:t>
      </w:r>
    </w:p>
    <w:p w14:paraId="752F94D4" w14:textId="77777777" w:rsidR="00C56902" w:rsidRPr="00C56902" w:rsidRDefault="00C56902" w:rsidP="00C56902">
      <w:pPr>
        <w:spacing w:after="0" w:line="240" w:lineRule="auto"/>
        <w:ind w:left="720"/>
        <w:rPr>
          <w:rFonts w:ascii="Calibri" w:eastAsia="Calibri" w:hAnsi="Calibri" w:cs="Times New Roman"/>
        </w:rPr>
      </w:pPr>
    </w:p>
    <w:p w14:paraId="3D6D7E5B"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In my opinion, considerations such as this should be helpful in defining the Best Practicable Option (BPO) for the operations carried out by Genera.  The Beca letter includes the definition of the “Best Practicable Option” from s2 (Interpretation) of the Resource Management Act 1992.  I was involved in the late 1980s in the drafting of that definition, it being largely based on the definition of the “Best Practicable Means” (s7) of the now repealed Clean Air Act 1972.  The wording of the definition of the BPO has not changed in the 28 years since the Resource Management Bill was enacted, one of very few matters in the Act not to do so.     </w:t>
      </w:r>
    </w:p>
    <w:p w14:paraId="2C953BB5" w14:textId="77777777" w:rsidR="00C56902" w:rsidRPr="00C56902" w:rsidRDefault="00C56902" w:rsidP="00C56902">
      <w:pPr>
        <w:spacing w:after="0" w:line="240" w:lineRule="auto"/>
        <w:rPr>
          <w:rFonts w:ascii="Calibri" w:eastAsia="Calibri" w:hAnsi="Calibri" w:cs="Times New Roman"/>
        </w:rPr>
      </w:pPr>
    </w:p>
    <w:p w14:paraId="74204FA4"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The response to the request about the status of the fumigation activities at Genera’s Maru Street site, which are part of the existing consent, is that “Genera’s Maru Street site is not included in this application”.  What does that mean?  Are those activities ceasing, or is a separate application for consent to be made?</w:t>
      </w:r>
    </w:p>
    <w:p w14:paraId="169C2BF5" w14:textId="77777777" w:rsidR="00C56902" w:rsidRPr="00C56902" w:rsidRDefault="00C56902" w:rsidP="00C56902">
      <w:pPr>
        <w:spacing w:after="0" w:line="240" w:lineRule="auto"/>
        <w:rPr>
          <w:rFonts w:ascii="Calibri" w:eastAsia="Calibri" w:hAnsi="Calibri" w:cs="Times New Roman"/>
        </w:rPr>
      </w:pPr>
    </w:p>
    <w:p w14:paraId="004F26B5"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In summary, my overwhelming comment is how little relevant information is provided in the response to the s92 request given the length of time between 16 December 2019 and 5 June 2020 (five and a half months).   </w:t>
      </w:r>
    </w:p>
    <w:p w14:paraId="778C92EA" w14:textId="77777777" w:rsidR="00C56902" w:rsidRPr="00C56902" w:rsidRDefault="00C56902" w:rsidP="00C56902">
      <w:pPr>
        <w:spacing w:after="0" w:line="240" w:lineRule="auto"/>
        <w:rPr>
          <w:rFonts w:ascii="Calibri" w:eastAsia="Calibri" w:hAnsi="Calibri" w:cs="Times New Roman"/>
        </w:rPr>
      </w:pPr>
    </w:p>
    <w:p w14:paraId="66ED1ECE" w14:textId="77777777" w:rsidR="00C56902" w:rsidRPr="00C56902" w:rsidRDefault="00C56902" w:rsidP="00C56902">
      <w:pPr>
        <w:spacing w:after="0" w:line="240" w:lineRule="auto"/>
        <w:rPr>
          <w:rFonts w:ascii="Calibri" w:eastAsia="Calibri" w:hAnsi="Calibri" w:cs="Times New Roman"/>
          <w:u w:val="single"/>
        </w:rPr>
      </w:pPr>
      <w:r w:rsidRPr="00C56902">
        <w:rPr>
          <w:rFonts w:ascii="Calibri" w:eastAsia="Calibri" w:hAnsi="Calibri" w:cs="Times New Roman"/>
          <w:u w:val="single"/>
        </w:rPr>
        <w:t>ESR Letter</w:t>
      </w:r>
    </w:p>
    <w:p w14:paraId="31C3C08B" w14:textId="77777777" w:rsidR="00C56902" w:rsidRPr="00C56902" w:rsidRDefault="00C56902" w:rsidP="00C56902">
      <w:pPr>
        <w:spacing w:after="0" w:line="240" w:lineRule="auto"/>
        <w:rPr>
          <w:rFonts w:ascii="Calibri" w:eastAsia="Calibri" w:hAnsi="Calibri" w:cs="Times New Roman"/>
        </w:rPr>
      </w:pPr>
    </w:p>
    <w:p w14:paraId="3DBE6A11"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In the practice of Air Quality Management air quality criteria are required to assess the results of atmospheric dispersion modelling and air quality monitoring.  Different averaging times may apply.  Specifically, in an Assessment of Environmental Effects (AEE) accompanying an application for a Discharges into Air Permit it is usual for the applicant to use appropriate air quality criteria.</w:t>
      </w:r>
    </w:p>
    <w:p w14:paraId="4CF7D249" w14:textId="77777777" w:rsidR="00C56902" w:rsidRPr="00C56902" w:rsidRDefault="00C56902" w:rsidP="00C56902">
      <w:pPr>
        <w:spacing w:after="0" w:line="240" w:lineRule="auto"/>
        <w:rPr>
          <w:rFonts w:ascii="Calibri" w:eastAsia="Calibri" w:hAnsi="Calibri" w:cs="Times New Roman"/>
        </w:rPr>
      </w:pPr>
    </w:p>
    <w:p w14:paraId="5A4B18A1"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The Institute of Environmental Science and Research Limited (ESR) produced a report in July 2019, that I commented on in my preliminary report (pages 9 &amp; 10).  I referred to the Environmental Risk Management Authority – ERMA (now the Environmental Protection Authority – EPA) Tolerable Exposure Limits (TELs) for Methyl Bromide and Phosphine, and the proposed EPA TEL for </w:t>
      </w:r>
      <w:proofErr w:type="spellStart"/>
      <w:r w:rsidRPr="00C56902">
        <w:rPr>
          <w:rFonts w:ascii="Calibri" w:eastAsia="Calibri" w:hAnsi="Calibri" w:cs="Times New Roman"/>
        </w:rPr>
        <w:t>Ethanedinitrile</w:t>
      </w:r>
      <w:proofErr w:type="spellEnd"/>
      <w:r w:rsidRPr="00C56902">
        <w:rPr>
          <w:rFonts w:ascii="Calibri" w:eastAsia="Calibri" w:hAnsi="Calibri" w:cs="Times New Roman"/>
        </w:rPr>
        <w:t xml:space="preserve">.   TELs are criteria directly applicable to environmental exposures to air contaminants. </w:t>
      </w:r>
    </w:p>
    <w:p w14:paraId="0DFCB7BA" w14:textId="77777777" w:rsidR="00C56902" w:rsidRPr="00C56902" w:rsidRDefault="00C56902" w:rsidP="00C56902">
      <w:pPr>
        <w:spacing w:after="0" w:line="240" w:lineRule="auto"/>
        <w:rPr>
          <w:rFonts w:ascii="Calibri" w:eastAsia="Calibri" w:hAnsi="Calibri" w:cs="Times New Roman"/>
        </w:rPr>
      </w:pPr>
    </w:p>
    <w:p w14:paraId="332108E1"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In the s92 request letter the applicant was asked to propose criteria for the assessment of the atmospheric dispersion modelling of fumigation using Methyl Bromide, Phosphine, and </w:t>
      </w:r>
      <w:proofErr w:type="spellStart"/>
      <w:r w:rsidRPr="00C56902">
        <w:rPr>
          <w:rFonts w:ascii="Calibri" w:eastAsia="Calibri" w:hAnsi="Calibri" w:cs="Times New Roman"/>
        </w:rPr>
        <w:t>Ethanedinitrile</w:t>
      </w:r>
      <w:proofErr w:type="spellEnd"/>
      <w:r w:rsidRPr="00C56902">
        <w:rPr>
          <w:rFonts w:ascii="Calibri" w:eastAsia="Calibri" w:hAnsi="Calibri" w:cs="Times New Roman"/>
        </w:rPr>
        <w:t>, for 24-hour, 60-minute, and 10-minute exposures.  In a letter dated 16 January 2020, ESR addressed that request.</w:t>
      </w:r>
    </w:p>
    <w:p w14:paraId="155E5CF5" w14:textId="77777777" w:rsidR="00C56902" w:rsidRPr="00C56902" w:rsidRDefault="00C56902" w:rsidP="00C56902">
      <w:pPr>
        <w:spacing w:after="0" w:line="240" w:lineRule="auto"/>
        <w:rPr>
          <w:rFonts w:ascii="Calibri" w:eastAsia="Calibri" w:hAnsi="Calibri" w:cs="Times New Roman"/>
        </w:rPr>
      </w:pPr>
    </w:p>
    <w:p w14:paraId="6020E5D7"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For Methyl Bromide, ESR propose air quality criteria of 1.3 mg/m</w:t>
      </w:r>
      <w:r w:rsidRPr="00C56902">
        <w:rPr>
          <w:rFonts w:ascii="Calibri" w:eastAsia="Calibri" w:hAnsi="Calibri" w:cs="Times New Roman"/>
          <w:vertAlign w:val="superscript"/>
        </w:rPr>
        <w:t>3</w:t>
      </w:r>
      <w:r w:rsidRPr="00C56902">
        <w:rPr>
          <w:rFonts w:ascii="Calibri" w:eastAsia="Calibri" w:hAnsi="Calibri" w:cs="Times New Roman"/>
        </w:rPr>
        <w:t>, 24-hour average; 3.9 mg/m</w:t>
      </w:r>
      <w:r w:rsidRPr="00C56902">
        <w:rPr>
          <w:rFonts w:ascii="Calibri" w:eastAsia="Calibri" w:hAnsi="Calibri" w:cs="Times New Roman"/>
          <w:vertAlign w:val="superscript"/>
        </w:rPr>
        <w:t>3</w:t>
      </w:r>
      <w:r w:rsidRPr="00C56902">
        <w:rPr>
          <w:rFonts w:ascii="Calibri" w:eastAsia="Calibri" w:hAnsi="Calibri" w:cs="Times New Roman"/>
        </w:rPr>
        <w:t>, 1-hour average; and 15 mg/m</w:t>
      </w:r>
      <w:r w:rsidRPr="00C56902">
        <w:rPr>
          <w:rFonts w:ascii="Calibri" w:eastAsia="Calibri" w:hAnsi="Calibri" w:cs="Times New Roman"/>
          <w:vertAlign w:val="superscript"/>
        </w:rPr>
        <w:t>3</w:t>
      </w:r>
      <w:r w:rsidRPr="00C56902">
        <w:rPr>
          <w:rFonts w:ascii="Calibri" w:eastAsia="Calibri" w:hAnsi="Calibri" w:cs="Times New Roman"/>
        </w:rPr>
        <w:t>, 10-minute average.  For Phosphine, ESR refer to the steep dose-response relationship for the contaminant and propose 0.01 mg/m</w:t>
      </w:r>
      <w:r w:rsidRPr="00C56902">
        <w:rPr>
          <w:rFonts w:ascii="Calibri" w:eastAsia="Calibri" w:hAnsi="Calibri" w:cs="Times New Roman"/>
          <w:vertAlign w:val="superscript"/>
        </w:rPr>
        <w:t>3</w:t>
      </w:r>
      <w:r w:rsidRPr="00C56902">
        <w:rPr>
          <w:rFonts w:ascii="Calibri" w:eastAsia="Calibri" w:hAnsi="Calibri" w:cs="Times New Roman"/>
        </w:rPr>
        <w:t xml:space="preserve"> for all short-term exposure </w:t>
      </w:r>
      <w:r w:rsidRPr="00C56902">
        <w:rPr>
          <w:rFonts w:ascii="Calibri" w:eastAsia="Calibri" w:hAnsi="Calibri" w:cs="Times New Roman"/>
        </w:rPr>
        <w:lastRenderedPageBreak/>
        <w:t xml:space="preserve">durations.  For </w:t>
      </w:r>
      <w:proofErr w:type="spellStart"/>
      <w:r w:rsidRPr="00C56902">
        <w:rPr>
          <w:rFonts w:ascii="Calibri" w:eastAsia="Calibri" w:hAnsi="Calibri" w:cs="Times New Roman"/>
        </w:rPr>
        <w:t>Ethanedinitrile</w:t>
      </w:r>
      <w:proofErr w:type="spellEnd"/>
      <w:r w:rsidRPr="00C56902">
        <w:rPr>
          <w:rFonts w:ascii="Calibri" w:eastAsia="Calibri" w:hAnsi="Calibri" w:cs="Times New Roman"/>
        </w:rPr>
        <w:t>, ESR propose 0.072 mg/m</w:t>
      </w:r>
      <w:r w:rsidRPr="00C56902">
        <w:rPr>
          <w:rFonts w:ascii="Calibri" w:eastAsia="Calibri" w:hAnsi="Calibri" w:cs="Times New Roman"/>
          <w:vertAlign w:val="superscript"/>
        </w:rPr>
        <w:t>3</w:t>
      </w:r>
      <w:r w:rsidRPr="00C56902">
        <w:rPr>
          <w:rFonts w:ascii="Calibri" w:eastAsia="Calibri" w:hAnsi="Calibri" w:cs="Times New Roman"/>
        </w:rPr>
        <w:t xml:space="preserve"> for long-term exposures; 0.6 mg/m</w:t>
      </w:r>
      <w:r w:rsidRPr="00C56902">
        <w:rPr>
          <w:rFonts w:ascii="Calibri" w:eastAsia="Calibri" w:hAnsi="Calibri" w:cs="Times New Roman"/>
          <w:vertAlign w:val="superscript"/>
        </w:rPr>
        <w:t>3</w:t>
      </w:r>
      <w:r w:rsidRPr="00C56902">
        <w:rPr>
          <w:rFonts w:ascii="Calibri" w:eastAsia="Calibri" w:hAnsi="Calibri" w:cs="Times New Roman"/>
        </w:rPr>
        <w:t>, 24-hour average; 4.3 mg/m</w:t>
      </w:r>
      <w:r w:rsidRPr="00C56902">
        <w:rPr>
          <w:rFonts w:ascii="Calibri" w:eastAsia="Calibri" w:hAnsi="Calibri" w:cs="Times New Roman"/>
          <w:vertAlign w:val="superscript"/>
        </w:rPr>
        <w:t>3</w:t>
      </w:r>
      <w:r w:rsidRPr="00C56902">
        <w:rPr>
          <w:rFonts w:ascii="Calibri" w:eastAsia="Calibri" w:hAnsi="Calibri" w:cs="Times New Roman"/>
        </w:rPr>
        <w:t>, 1-hour average; and 5.3 mg/m</w:t>
      </w:r>
      <w:r w:rsidRPr="00C56902">
        <w:rPr>
          <w:rFonts w:ascii="Calibri" w:eastAsia="Calibri" w:hAnsi="Calibri" w:cs="Times New Roman"/>
          <w:vertAlign w:val="superscript"/>
        </w:rPr>
        <w:t>3</w:t>
      </w:r>
      <w:r w:rsidRPr="00C56902">
        <w:rPr>
          <w:rFonts w:ascii="Calibri" w:eastAsia="Calibri" w:hAnsi="Calibri" w:cs="Times New Roman"/>
        </w:rPr>
        <w:t>, 10-minute average.</w:t>
      </w:r>
    </w:p>
    <w:p w14:paraId="691E43D7" w14:textId="77777777" w:rsidR="00C56902" w:rsidRPr="00C56902" w:rsidRDefault="00C56902" w:rsidP="00C56902">
      <w:pPr>
        <w:spacing w:after="0" w:line="240" w:lineRule="auto"/>
        <w:rPr>
          <w:rFonts w:ascii="Calibri" w:eastAsia="Calibri" w:hAnsi="Calibri" w:cs="Times New Roman"/>
        </w:rPr>
      </w:pPr>
    </w:p>
    <w:p w14:paraId="491D8E09"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There is obviously a marked difference between the long-term and 24-hour criteria for </w:t>
      </w:r>
      <w:proofErr w:type="spellStart"/>
      <w:r w:rsidRPr="00C56902">
        <w:rPr>
          <w:rFonts w:ascii="Calibri" w:eastAsia="Calibri" w:hAnsi="Calibri" w:cs="Times New Roman"/>
        </w:rPr>
        <w:t>Ethanedinitrile</w:t>
      </w:r>
      <w:proofErr w:type="spellEnd"/>
      <w:r w:rsidRPr="00C56902">
        <w:rPr>
          <w:rFonts w:ascii="Calibri" w:eastAsia="Calibri" w:hAnsi="Calibri" w:cs="Times New Roman"/>
        </w:rPr>
        <w:t xml:space="preserve">, and further work on that matter is needed.   What is meant in this case by “long-term exposures”, and is such an averaging time appropriate for fumigation activities?  My view </w:t>
      </w:r>
      <w:proofErr w:type="gramStart"/>
      <w:r w:rsidRPr="00C56902">
        <w:rPr>
          <w:rFonts w:ascii="Calibri" w:eastAsia="Calibri" w:hAnsi="Calibri" w:cs="Times New Roman"/>
        </w:rPr>
        <w:t>at this time</w:t>
      </w:r>
      <w:proofErr w:type="gramEnd"/>
      <w:r w:rsidRPr="00C56902">
        <w:rPr>
          <w:rFonts w:ascii="Calibri" w:eastAsia="Calibri" w:hAnsi="Calibri" w:cs="Times New Roman"/>
        </w:rPr>
        <w:t xml:space="preserve"> is that 0.6 mg/m3, 24-hour average, offers adequate protection for environmental exposures.  Otherwise, the criteria proposed by ESR are appropriate and can now be established.  They should be used for the follow-up atmospheric dispersion modelling.</w:t>
      </w:r>
    </w:p>
    <w:p w14:paraId="0DDEBD93" w14:textId="77777777" w:rsidR="00C56902" w:rsidRPr="00C56902" w:rsidRDefault="00C56902" w:rsidP="00C56902">
      <w:pPr>
        <w:spacing w:after="0" w:line="240" w:lineRule="auto"/>
        <w:rPr>
          <w:rFonts w:ascii="Calibri" w:eastAsia="Calibri" w:hAnsi="Calibri" w:cs="Times New Roman"/>
        </w:rPr>
      </w:pPr>
    </w:p>
    <w:p w14:paraId="351B5CC3" w14:textId="77777777" w:rsidR="00C56902" w:rsidRPr="00C56902" w:rsidRDefault="00C56902" w:rsidP="00C56902">
      <w:pPr>
        <w:spacing w:after="0" w:line="240" w:lineRule="auto"/>
        <w:rPr>
          <w:rFonts w:ascii="Calibri" w:eastAsia="Calibri" w:hAnsi="Calibri" w:cs="Times New Roman"/>
          <w:u w:val="single"/>
        </w:rPr>
      </w:pPr>
      <w:r w:rsidRPr="00C56902">
        <w:rPr>
          <w:rFonts w:ascii="Calibri" w:eastAsia="Calibri" w:hAnsi="Calibri" w:cs="Times New Roman"/>
        </w:rPr>
        <w:t xml:space="preserve">In the ESR letter, and repeated by Beca, is the point that the “setting of exposure limits is a responsibility of the regulator”.  That is obviously correct, and it is an unnecessary comment to make.  In response, it should be well accepted that for an AEE to be properly completed appropriate assessment criteria are required to be used.  </w:t>
      </w:r>
    </w:p>
    <w:p w14:paraId="75C26CB1" w14:textId="77777777" w:rsidR="00C56902" w:rsidRPr="00C56902" w:rsidRDefault="00C56902" w:rsidP="00C56902">
      <w:pPr>
        <w:spacing w:after="0" w:line="240" w:lineRule="auto"/>
        <w:rPr>
          <w:rFonts w:ascii="Calibri" w:eastAsia="Calibri" w:hAnsi="Calibri" w:cs="Times New Roman"/>
        </w:rPr>
      </w:pPr>
    </w:p>
    <w:p w14:paraId="3ED0C9EC" w14:textId="77777777" w:rsidR="00C56902" w:rsidRPr="00C56902" w:rsidRDefault="00C56902" w:rsidP="00C56902">
      <w:pPr>
        <w:spacing w:after="0" w:line="240" w:lineRule="auto"/>
        <w:rPr>
          <w:rFonts w:ascii="Calibri" w:eastAsia="Calibri" w:hAnsi="Calibri" w:cs="Times New Roman"/>
          <w:u w:val="single"/>
        </w:rPr>
      </w:pPr>
      <w:r w:rsidRPr="00C56902">
        <w:rPr>
          <w:rFonts w:ascii="Calibri" w:eastAsia="Calibri" w:hAnsi="Calibri" w:cs="Times New Roman"/>
          <w:u w:val="single"/>
        </w:rPr>
        <w:t>Recapture Monitoring Report</w:t>
      </w:r>
    </w:p>
    <w:p w14:paraId="6ADF33E1" w14:textId="77777777" w:rsidR="00C56902" w:rsidRPr="00C56902" w:rsidRDefault="00C56902" w:rsidP="00C56902">
      <w:pPr>
        <w:spacing w:after="0" w:line="240" w:lineRule="auto"/>
        <w:rPr>
          <w:rFonts w:ascii="Calibri" w:eastAsia="Calibri" w:hAnsi="Calibri" w:cs="Times New Roman"/>
          <w:u w:val="single"/>
        </w:rPr>
      </w:pPr>
    </w:p>
    <w:p w14:paraId="0FD63414"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Section 4.3.2 of the application made on 29 October 2019 refers to a protocol between Genera and the Bay of Plenty Regional Council for monitoring the effectiveness of recapture from the fumigation of logs under tarpaulins.  The protocol is provided as Appendix 12 of the Fumigation Management Plan (Revision A, dated 26 April 2019), which is Appendix C (not Appendix E, as written in both the s92 request for the further information and the Beca response letter) of the application documentation.  Section 4.3.2 of the application reports that the first round of monitoring was carried out in June 2019.  The s92 request for further information sought the report of that monitoring.  The report (July 2019) has been supplied.</w:t>
      </w:r>
    </w:p>
    <w:p w14:paraId="2798A820" w14:textId="77777777" w:rsidR="00C56902" w:rsidRPr="00C56902" w:rsidRDefault="00C56902" w:rsidP="00C56902">
      <w:pPr>
        <w:spacing w:after="0" w:line="240" w:lineRule="auto"/>
        <w:rPr>
          <w:rFonts w:ascii="Calibri" w:eastAsia="Calibri" w:hAnsi="Calibri" w:cs="Times New Roman"/>
        </w:rPr>
      </w:pPr>
    </w:p>
    <w:p w14:paraId="2676AAB2"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The monitoring was carried on 12 June 2019 and twice on the 13 June 2019, for periods of 5 hours and 20 minutes, 7 hours, and 5 hours and 20 minutes, respectively.  On none of those occasions was the 80% recapture of Methyl Bromide achieved, although the first and second exercises went close – at 79% and 75%, respectively.  Consequently, the measured final Methyl Bromide concentration exceeded the theoretical concentration for 80% recapture. </w:t>
      </w:r>
    </w:p>
    <w:p w14:paraId="317F24B0" w14:textId="77777777" w:rsidR="00C56902" w:rsidRPr="00C56902" w:rsidRDefault="00C56902" w:rsidP="00C56902">
      <w:pPr>
        <w:spacing w:after="0" w:line="240" w:lineRule="auto"/>
        <w:rPr>
          <w:rFonts w:ascii="Calibri" w:eastAsia="Calibri" w:hAnsi="Calibri" w:cs="Times New Roman"/>
        </w:rPr>
      </w:pPr>
    </w:p>
    <w:p w14:paraId="75AF4C5A"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That report was </w:t>
      </w:r>
      <w:proofErr w:type="gramStart"/>
      <w:r w:rsidRPr="00C56902">
        <w:rPr>
          <w:rFonts w:ascii="Calibri" w:eastAsia="Calibri" w:hAnsi="Calibri" w:cs="Times New Roman"/>
        </w:rPr>
        <w:t>actually provided</w:t>
      </w:r>
      <w:proofErr w:type="gramEnd"/>
      <w:r w:rsidRPr="00C56902">
        <w:rPr>
          <w:rFonts w:ascii="Calibri" w:eastAsia="Calibri" w:hAnsi="Calibri" w:cs="Times New Roman"/>
        </w:rPr>
        <w:t xml:space="preserve"> to me by you in February 2020, along with another report (prepared in January 2020) for monitoring carried out on 28 November, 2 December, 13 December, 15 December, and 17 December 2019.  They were for periods of 4 hours and 40 minutes, 4 hours, 2 hours and 40 minutes, 4 hours and 40 minutes, and 4 hours, respectively.  Again, on none of those occasions was the 80% recapture of Methyl Bromide achieved, although the third exercise went close – at 75%.   Again, consequently, the measured final Methyl Bromide concentration exceeded the theoretical concentration for 80% recapture, by more than three times for the second, fourth, and fifth monitoring exercises.  Sam Weiss prepared a useful summary spreadsheet of the results of the eight monitoring exercises.     </w:t>
      </w:r>
    </w:p>
    <w:p w14:paraId="6110FF6C" w14:textId="77777777" w:rsidR="00C56902" w:rsidRPr="00C56902" w:rsidRDefault="00C56902" w:rsidP="00C56902">
      <w:pPr>
        <w:spacing w:after="0" w:line="240" w:lineRule="auto"/>
        <w:rPr>
          <w:rFonts w:ascii="Calibri" w:eastAsia="Calibri" w:hAnsi="Calibri" w:cs="Times New Roman"/>
        </w:rPr>
      </w:pPr>
    </w:p>
    <w:p w14:paraId="6423AD45" w14:textId="77777777" w:rsidR="00C56902" w:rsidRPr="00C56902" w:rsidRDefault="00C56902" w:rsidP="00C56902">
      <w:pPr>
        <w:spacing w:after="0" w:line="240" w:lineRule="auto"/>
        <w:rPr>
          <w:rFonts w:ascii="Calibri" w:eastAsia="Calibri" w:hAnsi="Calibri" w:cs="Times New Roman"/>
          <w:u w:val="single"/>
        </w:rPr>
      </w:pPr>
      <w:r w:rsidRPr="00C56902">
        <w:rPr>
          <w:rFonts w:ascii="Calibri" w:eastAsia="Calibri" w:hAnsi="Calibri" w:cs="Times New Roman"/>
        </w:rPr>
        <w:t xml:space="preserve">From the monitoring exercises </w:t>
      </w:r>
      <w:proofErr w:type="gramStart"/>
      <w:r w:rsidRPr="00C56902">
        <w:rPr>
          <w:rFonts w:ascii="Calibri" w:eastAsia="Calibri" w:hAnsi="Calibri" w:cs="Times New Roman"/>
        </w:rPr>
        <w:t>it is clear that the</w:t>
      </w:r>
      <w:proofErr w:type="gramEnd"/>
      <w:r w:rsidRPr="00C56902">
        <w:rPr>
          <w:rFonts w:ascii="Calibri" w:eastAsia="Calibri" w:hAnsi="Calibri" w:cs="Times New Roman"/>
        </w:rPr>
        <w:t xml:space="preserve"> recapture procedures being carried out by Genera are not sufficiently effective.  This continues to be a major concern, and strengthens the need for other measures, such as those I mention in my preliminary report of 16 December 2019 and summarise in a list above.</w:t>
      </w:r>
    </w:p>
    <w:p w14:paraId="47BB2481" w14:textId="77777777" w:rsidR="00C56902" w:rsidRPr="00C56902" w:rsidRDefault="00C56902" w:rsidP="00C56902">
      <w:pPr>
        <w:spacing w:after="0" w:line="240" w:lineRule="auto"/>
        <w:rPr>
          <w:rFonts w:ascii="Calibri" w:eastAsia="Calibri" w:hAnsi="Calibri" w:cs="Times New Roman"/>
          <w:u w:val="single"/>
        </w:rPr>
      </w:pPr>
    </w:p>
    <w:p w14:paraId="71744D0A" w14:textId="77777777" w:rsidR="00C56902" w:rsidRPr="00C56902" w:rsidRDefault="00C56902" w:rsidP="00C56902">
      <w:pPr>
        <w:spacing w:after="0" w:line="240" w:lineRule="auto"/>
        <w:rPr>
          <w:rFonts w:ascii="Calibri" w:eastAsia="Calibri" w:hAnsi="Calibri" w:cs="Times New Roman"/>
          <w:u w:val="single"/>
        </w:rPr>
      </w:pPr>
      <w:r w:rsidRPr="00C56902">
        <w:rPr>
          <w:rFonts w:ascii="Calibri" w:eastAsia="Calibri" w:hAnsi="Calibri" w:cs="Times New Roman"/>
          <w:u w:val="single"/>
        </w:rPr>
        <w:t>Port of Nelson Report</w:t>
      </w:r>
    </w:p>
    <w:p w14:paraId="15BC7338" w14:textId="77777777" w:rsidR="00C56902" w:rsidRPr="00C56902" w:rsidRDefault="00C56902" w:rsidP="00C56902">
      <w:pPr>
        <w:spacing w:after="0" w:line="240" w:lineRule="auto"/>
        <w:rPr>
          <w:rFonts w:ascii="Calibri" w:eastAsia="Calibri" w:hAnsi="Calibri" w:cs="Times New Roman"/>
        </w:rPr>
      </w:pPr>
    </w:p>
    <w:p w14:paraId="799CE51C"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The s92 request for further information asked for quantification of “the concentration of the discharge and if the volume of Methyl Bromide remaining at the time of ventilation depending on </w:t>
      </w:r>
      <w:r w:rsidRPr="00C56902">
        <w:rPr>
          <w:rFonts w:ascii="Calibri" w:eastAsia="Calibri" w:hAnsi="Calibri" w:cs="Times New Roman"/>
        </w:rPr>
        <w:lastRenderedPageBreak/>
        <w:t>the material being fumigated. The response should provide a comprehensive assessment of environmental effects resulting from the ventilation of containers and the physical extent of the discharge”.</w:t>
      </w:r>
    </w:p>
    <w:p w14:paraId="130E651A" w14:textId="77777777" w:rsidR="00C56902" w:rsidRPr="00C56902" w:rsidRDefault="00C56902" w:rsidP="00C56902">
      <w:pPr>
        <w:spacing w:after="0" w:line="240" w:lineRule="auto"/>
        <w:rPr>
          <w:rFonts w:ascii="Calibri" w:eastAsia="Calibri" w:hAnsi="Calibri" w:cs="Times New Roman"/>
        </w:rPr>
      </w:pPr>
    </w:p>
    <w:p w14:paraId="2A4948B9"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The responses were that:</w:t>
      </w:r>
    </w:p>
    <w:p w14:paraId="5877B679" w14:textId="77777777" w:rsidR="00C56902" w:rsidRPr="00C56902" w:rsidRDefault="00C56902" w:rsidP="00C56902">
      <w:pPr>
        <w:spacing w:after="0" w:line="240" w:lineRule="auto"/>
        <w:rPr>
          <w:rFonts w:ascii="Calibri" w:eastAsia="Calibri" w:hAnsi="Calibri" w:cs="Times New Roman"/>
        </w:rPr>
      </w:pPr>
    </w:p>
    <w:p w14:paraId="03A034ED" w14:textId="77777777" w:rsidR="00C56902" w:rsidRPr="00C56902" w:rsidRDefault="00C56902" w:rsidP="00C56902">
      <w:pPr>
        <w:numPr>
          <w:ilvl w:val="0"/>
          <w:numId w:val="3"/>
        </w:numPr>
        <w:spacing w:after="0" w:line="240" w:lineRule="auto"/>
        <w:rPr>
          <w:rFonts w:ascii="Calibri" w:eastAsia="Calibri" w:hAnsi="Calibri" w:cs="Times New Roman"/>
        </w:rPr>
      </w:pPr>
      <w:proofErr w:type="gramStart"/>
      <w:r w:rsidRPr="00C56902">
        <w:rPr>
          <w:rFonts w:ascii="Calibri" w:eastAsia="Calibri" w:hAnsi="Calibri" w:cs="Times New Roman"/>
        </w:rPr>
        <w:t>typically</w:t>
      </w:r>
      <w:proofErr w:type="gramEnd"/>
      <w:r w:rsidRPr="00C56902">
        <w:rPr>
          <w:rFonts w:ascii="Calibri" w:eastAsia="Calibri" w:hAnsi="Calibri" w:cs="Times New Roman"/>
        </w:rPr>
        <w:t xml:space="preserve"> each container is fumigated with approximately 2-6 kilograms of Methyl Bromide;</w:t>
      </w:r>
    </w:p>
    <w:p w14:paraId="341B09F7" w14:textId="77777777" w:rsidR="00C56902" w:rsidRPr="00C56902" w:rsidRDefault="00C56902" w:rsidP="00C56902">
      <w:pPr>
        <w:spacing w:after="0" w:line="240" w:lineRule="auto"/>
        <w:rPr>
          <w:rFonts w:ascii="Calibri" w:eastAsia="Calibri" w:hAnsi="Calibri" w:cs="Times New Roman"/>
        </w:rPr>
      </w:pPr>
    </w:p>
    <w:p w14:paraId="0C5A2678" w14:textId="77777777" w:rsidR="00C56902" w:rsidRPr="00C56902" w:rsidRDefault="00C56902" w:rsidP="00C56902">
      <w:pPr>
        <w:numPr>
          <w:ilvl w:val="0"/>
          <w:numId w:val="3"/>
        </w:numPr>
        <w:spacing w:after="0" w:line="240" w:lineRule="auto"/>
        <w:rPr>
          <w:rFonts w:ascii="Calibri" w:eastAsia="Calibri" w:hAnsi="Calibri" w:cs="Times New Roman"/>
        </w:rPr>
      </w:pPr>
      <w:r w:rsidRPr="00C56902">
        <w:rPr>
          <w:rFonts w:ascii="Calibri" w:eastAsia="Calibri" w:hAnsi="Calibri" w:cs="Times New Roman"/>
        </w:rPr>
        <w:t xml:space="preserve">all containers are subject to recapture technology, which is used until the concentration of Methyl Bromide in the headspace is less than 5 </w:t>
      </w:r>
      <w:proofErr w:type="gramStart"/>
      <w:r w:rsidRPr="00C56902">
        <w:rPr>
          <w:rFonts w:ascii="Calibri" w:eastAsia="Calibri" w:hAnsi="Calibri" w:cs="Times New Roman"/>
        </w:rPr>
        <w:t>ppm;</w:t>
      </w:r>
      <w:proofErr w:type="gramEnd"/>
      <w:r w:rsidRPr="00C56902">
        <w:rPr>
          <w:rFonts w:ascii="Calibri" w:eastAsia="Calibri" w:hAnsi="Calibri" w:cs="Times New Roman"/>
        </w:rPr>
        <w:t xml:space="preserve"> and</w:t>
      </w:r>
    </w:p>
    <w:p w14:paraId="798285FC" w14:textId="77777777" w:rsidR="00C56902" w:rsidRPr="00C56902" w:rsidRDefault="00C56902" w:rsidP="00C56902">
      <w:pPr>
        <w:spacing w:after="0" w:line="240" w:lineRule="auto"/>
        <w:rPr>
          <w:rFonts w:ascii="Calibri" w:eastAsia="Calibri" w:hAnsi="Calibri" w:cs="Times New Roman"/>
        </w:rPr>
      </w:pPr>
    </w:p>
    <w:p w14:paraId="1F5AFDD3" w14:textId="77777777" w:rsidR="00C56902" w:rsidRPr="00C56902" w:rsidRDefault="00C56902" w:rsidP="00C56902">
      <w:pPr>
        <w:numPr>
          <w:ilvl w:val="0"/>
          <w:numId w:val="3"/>
        </w:numPr>
        <w:spacing w:after="0" w:line="240" w:lineRule="auto"/>
        <w:rPr>
          <w:rFonts w:ascii="Calibri" w:eastAsia="Calibri" w:hAnsi="Calibri" w:cs="Times New Roman"/>
        </w:rPr>
      </w:pPr>
      <w:r w:rsidRPr="00C56902">
        <w:rPr>
          <w:rFonts w:ascii="Calibri" w:eastAsia="Calibri" w:hAnsi="Calibri" w:cs="Times New Roman"/>
        </w:rPr>
        <w:t>that there is a ‘puff’ discharge of residual Methyl Bromide as the container door is opened to allow equipment to be detached.</w:t>
      </w:r>
    </w:p>
    <w:p w14:paraId="00C84313" w14:textId="77777777" w:rsidR="00C56902" w:rsidRPr="00C56902" w:rsidRDefault="00C56902" w:rsidP="00C56902">
      <w:pPr>
        <w:spacing w:after="0" w:line="240" w:lineRule="auto"/>
        <w:ind w:left="720"/>
        <w:rPr>
          <w:rFonts w:ascii="Calibri" w:eastAsia="Calibri" w:hAnsi="Calibri" w:cs="Times New Roman"/>
        </w:rPr>
      </w:pPr>
    </w:p>
    <w:p w14:paraId="1DC1E4F4"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The point about differences in the fumigation depending on the material being fumigated is not addressed, but these are real.  Different materials have different fumigant adsorption capacities, and subsequent desorption rates when stored.  </w:t>
      </w:r>
    </w:p>
    <w:p w14:paraId="32792F32" w14:textId="77777777" w:rsidR="00C56902" w:rsidRPr="00C56902" w:rsidRDefault="00C56902" w:rsidP="00C56902">
      <w:pPr>
        <w:spacing w:after="0" w:line="240" w:lineRule="auto"/>
        <w:rPr>
          <w:rFonts w:ascii="Calibri" w:eastAsia="Calibri" w:hAnsi="Calibri" w:cs="Times New Roman"/>
        </w:rPr>
      </w:pPr>
    </w:p>
    <w:p w14:paraId="6E146C3D"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Apparently in support of the third bullet point above, the s92 response includes the first draft of a Beca Discharges-into-Air Report for Port Nelson dated 23 January 2020.  The report relates to container fumigation with Methyl Bromide, and lists Mathew Noonan as an author and Prue Harwood as a reviewer.  Mathew and Prue </w:t>
      </w:r>
      <w:proofErr w:type="gramStart"/>
      <w:r w:rsidRPr="00C56902">
        <w:rPr>
          <w:rFonts w:ascii="Calibri" w:eastAsia="Calibri" w:hAnsi="Calibri" w:cs="Times New Roman"/>
        </w:rPr>
        <w:t>have  backgrounds</w:t>
      </w:r>
      <w:proofErr w:type="gramEnd"/>
      <w:r w:rsidRPr="00C56902">
        <w:rPr>
          <w:rFonts w:ascii="Calibri" w:eastAsia="Calibri" w:hAnsi="Calibri" w:cs="Times New Roman"/>
        </w:rPr>
        <w:t xml:space="preserve"> in Air Quality Management. </w:t>
      </w:r>
    </w:p>
    <w:p w14:paraId="208944E7" w14:textId="77777777" w:rsidR="00C56902" w:rsidRPr="00C56902" w:rsidRDefault="00C56902" w:rsidP="00C56902">
      <w:pPr>
        <w:spacing w:after="0" w:line="240" w:lineRule="auto"/>
        <w:rPr>
          <w:rFonts w:ascii="Calibri" w:eastAsia="Calibri" w:hAnsi="Calibri" w:cs="Times New Roman"/>
        </w:rPr>
      </w:pPr>
    </w:p>
    <w:p w14:paraId="4D2520F8"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The atmospheric dispersion modelling considered two scenarios – the second one being used to predict the maximum 99.9 percentile 1-hour average Methyl Bromide concentrations.  The sources of the Methyl Bromide discharges in that scenario were the residual discharges from three recapture units and from fumigant desorption during storage in a fumigation shed.  Emission rates were estimated for those sources, whereas it was assumed that no container openings occur when three ventilations are in progress.</w:t>
      </w:r>
    </w:p>
    <w:p w14:paraId="246E95C6" w14:textId="77777777" w:rsidR="00C56902" w:rsidRPr="00C56902" w:rsidRDefault="00C56902" w:rsidP="00C56902">
      <w:pPr>
        <w:spacing w:after="0" w:line="240" w:lineRule="auto"/>
        <w:rPr>
          <w:rFonts w:ascii="Calibri" w:eastAsia="Calibri" w:hAnsi="Calibri" w:cs="Times New Roman"/>
        </w:rPr>
      </w:pPr>
    </w:p>
    <w:p w14:paraId="417491F0"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It is unlikely that the Port of Nelson situation is sufficiently applicable to the Tauranga activities of Genera for the results in the Beca report to be of much use.  The Nelson modelling predicted Methyl Bromide concentrations at both the boundary of the Port Security Area and at “the most potentially impacted residential property”.  The configurations at the two Ports are quite different, as are the adjoining land uses.  The revised atmospheric dispersion modelling for the Tauranga activities should be based on the prevailing local situation and use scenarios that are realistic to that.  </w:t>
      </w:r>
    </w:p>
    <w:p w14:paraId="300F8931" w14:textId="77777777" w:rsidR="00C56902" w:rsidRPr="00C56902" w:rsidRDefault="00C56902" w:rsidP="00C56902">
      <w:pPr>
        <w:spacing w:after="0" w:line="240" w:lineRule="auto"/>
        <w:rPr>
          <w:rFonts w:ascii="Calibri" w:eastAsia="Calibri" w:hAnsi="Calibri" w:cs="Times New Roman"/>
        </w:rPr>
      </w:pPr>
    </w:p>
    <w:p w14:paraId="5F0EF0F2" w14:textId="77777777" w:rsidR="00C56902" w:rsidRPr="00C56902" w:rsidRDefault="00C56902" w:rsidP="00C56902">
      <w:pPr>
        <w:spacing w:after="0" w:line="240" w:lineRule="auto"/>
        <w:rPr>
          <w:rFonts w:ascii="Calibri" w:eastAsia="Calibri" w:hAnsi="Calibri" w:cs="Times New Roman"/>
          <w:u w:val="single"/>
        </w:rPr>
      </w:pPr>
      <w:r w:rsidRPr="00C56902">
        <w:rPr>
          <w:rFonts w:ascii="Calibri" w:eastAsia="Calibri" w:hAnsi="Calibri" w:cs="Times New Roman"/>
          <w:u w:val="single"/>
        </w:rPr>
        <w:t>Phosphine Work Instructions and Safe Operating Procedures</w:t>
      </w:r>
    </w:p>
    <w:p w14:paraId="5B3E4D14" w14:textId="77777777" w:rsidR="00C56902" w:rsidRPr="00C56902" w:rsidRDefault="00C56902" w:rsidP="00C56902">
      <w:pPr>
        <w:spacing w:after="0" w:line="240" w:lineRule="auto"/>
        <w:rPr>
          <w:rFonts w:ascii="Calibri" w:eastAsia="Calibri" w:hAnsi="Calibri" w:cs="Times New Roman"/>
        </w:rPr>
      </w:pPr>
    </w:p>
    <w:p w14:paraId="001FD7F4"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The response to the s92 request for further information focuses on phosphine.  Provided are the following Genera documents:</w:t>
      </w:r>
    </w:p>
    <w:p w14:paraId="60AC5D64" w14:textId="77777777" w:rsidR="00C56902" w:rsidRPr="00C56902" w:rsidRDefault="00C56902" w:rsidP="00C56902">
      <w:pPr>
        <w:spacing w:after="0" w:line="240" w:lineRule="auto"/>
        <w:rPr>
          <w:rFonts w:ascii="Calibri" w:eastAsia="Calibri" w:hAnsi="Calibri" w:cs="Times New Roman"/>
        </w:rPr>
      </w:pPr>
    </w:p>
    <w:p w14:paraId="4F87B68C" w14:textId="77777777" w:rsidR="00C56902" w:rsidRPr="00C56902" w:rsidRDefault="00C56902" w:rsidP="00C56902">
      <w:pPr>
        <w:numPr>
          <w:ilvl w:val="0"/>
          <w:numId w:val="4"/>
        </w:numPr>
        <w:spacing w:after="0" w:line="240" w:lineRule="auto"/>
        <w:rPr>
          <w:rFonts w:ascii="Calibri" w:eastAsia="Calibri" w:hAnsi="Calibri" w:cs="Times New Roman"/>
        </w:rPr>
      </w:pPr>
      <w:r w:rsidRPr="00C56902">
        <w:rPr>
          <w:rFonts w:ascii="Calibri" w:eastAsia="Calibri" w:hAnsi="Calibri" w:cs="Times New Roman"/>
        </w:rPr>
        <w:t xml:space="preserve">Work Instruction 4A:  Aluminium Phosphide Initial Application – Logs, Version 2.2, February 2020 </w:t>
      </w:r>
    </w:p>
    <w:p w14:paraId="2472EC55" w14:textId="77777777" w:rsidR="00C56902" w:rsidRPr="00C56902" w:rsidRDefault="00C56902" w:rsidP="00C56902">
      <w:pPr>
        <w:spacing w:after="0" w:line="240" w:lineRule="auto"/>
        <w:rPr>
          <w:rFonts w:ascii="Calibri" w:eastAsia="Calibri" w:hAnsi="Calibri" w:cs="Times New Roman"/>
        </w:rPr>
      </w:pPr>
    </w:p>
    <w:p w14:paraId="67E139B1" w14:textId="77777777" w:rsidR="00C56902" w:rsidRPr="00C56902" w:rsidRDefault="00C56902" w:rsidP="00C56902">
      <w:pPr>
        <w:numPr>
          <w:ilvl w:val="0"/>
          <w:numId w:val="4"/>
        </w:numPr>
        <w:spacing w:after="0" w:line="240" w:lineRule="auto"/>
        <w:rPr>
          <w:rFonts w:ascii="Calibri" w:eastAsia="Calibri" w:hAnsi="Calibri" w:cs="Times New Roman"/>
        </w:rPr>
      </w:pPr>
      <w:r w:rsidRPr="00C56902">
        <w:rPr>
          <w:rFonts w:ascii="Calibri" w:eastAsia="Calibri" w:hAnsi="Calibri" w:cs="Times New Roman"/>
        </w:rPr>
        <w:t>Work Instruction 12:  Aluminium Phosphide Fumigation in Containers/Chambers other than Log Vessels, Version 2, October 2017</w:t>
      </w:r>
    </w:p>
    <w:p w14:paraId="466F19B6" w14:textId="77777777" w:rsidR="00C56902" w:rsidRPr="00C56902" w:rsidRDefault="00C56902" w:rsidP="00C56902">
      <w:pPr>
        <w:spacing w:after="0" w:line="240" w:lineRule="auto"/>
        <w:ind w:left="720"/>
        <w:rPr>
          <w:rFonts w:ascii="Calibri" w:eastAsia="Calibri" w:hAnsi="Calibri" w:cs="Times New Roman"/>
        </w:rPr>
      </w:pPr>
    </w:p>
    <w:p w14:paraId="2F3A2FDD" w14:textId="77777777" w:rsidR="00C56902" w:rsidRPr="00C56902" w:rsidRDefault="00C56902" w:rsidP="00C56902">
      <w:pPr>
        <w:numPr>
          <w:ilvl w:val="0"/>
          <w:numId w:val="4"/>
        </w:numPr>
        <w:spacing w:after="0" w:line="240" w:lineRule="auto"/>
        <w:rPr>
          <w:rFonts w:ascii="Calibri" w:eastAsia="Calibri" w:hAnsi="Calibri" w:cs="Times New Roman"/>
        </w:rPr>
      </w:pPr>
      <w:r w:rsidRPr="00C56902">
        <w:rPr>
          <w:rFonts w:ascii="Calibri" w:eastAsia="Calibri" w:hAnsi="Calibri" w:cs="Times New Roman"/>
        </w:rPr>
        <w:t xml:space="preserve">Safe Operating Procedure 10.2:  </w:t>
      </w:r>
      <w:proofErr w:type="gramStart"/>
      <w:r w:rsidRPr="00C56902">
        <w:rPr>
          <w:rFonts w:ascii="Calibri" w:eastAsia="Calibri" w:hAnsi="Calibri" w:cs="Times New Roman"/>
        </w:rPr>
        <w:t>Pre Inspection</w:t>
      </w:r>
      <w:proofErr w:type="gramEnd"/>
      <w:r w:rsidRPr="00C56902">
        <w:rPr>
          <w:rFonts w:ascii="Calibri" w:eastAsia="Calibri" w:hAnsi="Calibri" w:cs="Times New Roman"/>
        </w:rPr>
        <w:t xml:space="preserve"> of a Vessel for a Phosphine Fumigation – Version 5.11, January 2020 </w:t>
      </w:r>
    </w:p>
    <w:p w14:paraId="664AF578" w14:textId="77777777" w:rsidR="00C56902" w:rsidRPr="00C56902" w:rsidRDefault="00C56902" w:rsidP="00C56902">
      <w:pPr>
        <w:spacing w:after="0" w:line="240" w:lineRule="auto"/>
        <w:rPr>
          <w:rFonts w:ascii="Calibri" w:eastAsia="Calibri" w:hAnsi="Calibri" w:cs="Times New Roman"/>
        </w:rPr>
      </w:pPr>
    </w:p>
    <w:p w14:paraId="64B7E1AC" w14:textId="77777777" w:rsidR="00C56902" w:rsidRPr="00C56902" w:rsidRDefault="00C56902" w:rsidP="00C56902">
      <w:pPr>
        <w:numPr>
          <w:ilvl w:val="0"/>
          <w:numId w:val="4"/>
        </w:numPr>
        <w:spacing w:after="0" w:line="240" w:lineRule="auto"/>
        <w:rPr>
          <w:rFonts w:ascii="Calibri" w:eastAsia="Calibri" w:hAnsi="Calibri" w:cs="Times New Roman"/>
        </w:rPr>
      </w:pPr>
      <w:r w:rsidRPr="00C56902">
        <w:rPr>
          <w:rFonts w:ascii="Calibri" w:eastAsia="Calibri" w:hAnsi="Calibri" w:cs="Times New Roman"/>
        </w:rPr>
        <w:lastRenderedPageBreak/>
        <w:t>Safe Operating Procedure 10.4:  Phosphine Application to Vessel Holds – Version 10.4</w:t>
      </w:r>
      <w:proofErr w:type="gramStart"/>
      <w:r w:rsidRPr="00C56902">
        <w:rPr>
          <w:rFonts w:ascii="Calibri" w:eastAsia="Calibri" w:hAnsi="Calibri" w:cs="Times New Roman"/>
        </w:rPr>
        <w:t>,  January</w:t>
      </w:r>
      <w:proofErr w:type="gramEnd"/>
      <w:r w:rsidRPr="00C56902">
        <w:rPr>
          <w:rFonts w:ascii="Calibri" w:eastAsia="Calibri" w:hAnsi="Calibri" w:cs="Times New Roman"/>
        </w:rPr>
        <w:t xml:space="preserve"> 2020 (supplied twice)</w:t>
      </w:r>
    </w:p>
    <w:p w14:paraId="7D595E98" w14:textId="77777777" w:rsidR="00C56902" w:rsidRPr="00C56902" w:rsidRDefault="00C56902" w:rsidP="00C56902">
      <w:pPr>
        <w:spacing w:after="0" w:line="240" w:lineRule="auto"/>
        <w:rPr>
          <w:rFonts w:ascii="Calibri" w:eastAsia="Calibri" w:hAnsi="Calibri" w:cs="Times New Roman"/>
        </w:rPr>
      </w:pPr>
    </w:p>
    <w:p w14:paraId="688EE8A0" w14:textId="77777777" w:rsidR="00C56902" w:rsidRPr="00C56902" w:rsidRDefault="00C56902" w:rsidP="00C56902">
      <w:pPr>
        <w:numPr>
          <w:ilvl w:val="0"/>
          <w:numId w:val="4"/>
        </w:numPr>
        <w:spacing w:after="0" w:line="240" w:lineRule="auto"/>
        <w:rPr>
          <w:rFonts w:ascii="Calibri" w:eastAsia="Calibri" w:hAnsi="Calibri" w:cs="Times New Roman"/>
        </w:rPr>
      </w:pPr>
      <w:r w:rsidRPr="00C56902">
        <w:rPr>
          <w:rFonts w:ascii="Calibri" w:eastAsia="Calibri" w:hAnsi="Calibri" w:cs="Times New Roman"/>
        </w:rPr>
        <w:t>Safe Operating Procedure 13.1:  Phosphine Residual Removal &amp; Vessel Gas Free Version 3.1, September 2019</w:t>
      </w:r>
    </w:p>
    <w:p w14:paraId="4D7F2242" w14:textId="77777777" w:rsidR="00C56902" w:rsidRPr="00C56902" w:rsidRDefault="00C56902" w:rsidP="00C56902">
      <w:pPr>
        <w:spacing w:after="0" w:line="240" w:lineRule="auto"/>
        <w:rPr>
          <w:rFonts w:ascii="Calibri" w:eastAsia="Calibri" w:hAnsi="Calibri" w:cs="Times New Roman"/>
        </w:rPr>
      </w:pPr>
    </w:p>
    <w:p w14:paraId="2152198B"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The documents are the most useful of the new information supplied as part of the response to the s92 request for further information.  They all are subject to regular review, and three of the five documents are very recent.  They all relate to </w:t>
      </w:r>
      <w:proofErr w:type="gramStart"/>
      <w:r w:rsidRPr="00C56902">
        <w:rPr>
          <w:rFonts w:ascii="Calibri" w:eastAsia="Calibri" w:hAnsi="Calibri" w:cs="Times New Roman"/>
        </w:rPr>
        <w:t>on-shore</w:t>
      </w:r>
      <w:proofErr w:type="gramEnd"/>
      <w:r w:rsidRPr="00C56902">
        <w:rPr>
          <w:rFonts w:ascii="Calibri" w:eastAsia="Calibri" w:hAnsi="Calibri" w:cs="Times New Roman"/>
        </w:rPr>
        <w:t xml:space="preserve"> fumigation activities.  Fumigation by phosphine in the holds of ships in international waters is not included.</w:t>
      </w:r>
    </w:p>
    <w:p w14:paraId="65AA9B9F" w14:textId="77777777" w:rsidR="00C56902" w:rsidRPr="00C56902" w:rsidRDefault="00C56902" w:rsidP="00C56902">
      <w:pPr>
        <w:spacing w:after="0" w:line="240" w:lineRule="auto"/>
        <w:rPr>
          <w:rFonts w:ascii="Calibri" w:eastAsia="Calibri" w:hAnsi="Calibri" w:cs="Times New Roman"/>
        </w:rPr>
      </w:pPr>
    </w:p>
    <w:p w14:paraId="5D211075" w14:textId="77777777" w:rsidR="00C56902" w:rsidRPr="00C56902" w:rsidRDefault="00C56902" w:rsidP="00C56902">
      <w:pPr>
        <w:spacing w:after="0" w:line="240" w:lineRule="auto"/>
        <w:rPr>
          <w:rFonts w:ascii="Calibri" w:eastAsia="Calibri" w:hAnsi="Calibri" w:cs="Times New Roman"/>
          <w:u w:val="single"/>
        </w:rPr>
      </w:pPr>
      <w:r w:rsidRPr="00C56902">
        <w:rPr>
          <w:rFonts w:ascii="Calibri" w:eastAsia="Calibri" w:hAnsi="Calibri" w:cs="Times New Roman"/>
          <w:u w:val="single"/>
        </w:rPr>
        <w:t>WorkSafe WES etc. Document</w:t>
      </w:r>
    </w:p>
    <w:p w14:paraId="58812F58" w14:textId="77777777" w:rsidR="00C56902" w:rsidRPr="00C56902" w:rsidRDefault="00C56902" w:rsidP="00C56902">
      <w:pPr>
        <w:spacing w:after="0" w:line="240" w:lineRule="auto"/>
        <w:rPr>
          <w:rFonts w:ascii="Calibri" w:eastAsia="Calibri" w:hAnsi="Calibri" w:cs="Times New Roman"/>
        </w:rPr>
      </w:pPr>
    </w:p>
    <w:p w14:paraId="6F0230D0"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The response to the s92 request for further information includes, in the Beca letter, definitions of Workplace Exposure Standard (WES) and Time-Weighted Average (WES-TWA), with the suggestion that these “may be useful”.  </w:t>
      </w:r>
      <w:proofErr w:type="gramStart"/>
      <w:r w:rsidRPr="00C56902">
        <w:rPr>
          <w:rFonts w:ascii="Calibri" w:eastAsia="Calibri" w:hAnsi="Calibri" w:cs="Times New Roman"/>
        </w:rPr>
        <w:t>Actually</w:t>
      </w:r>
      <w:proofErr w:type="gramEnd"/>
      <w:r w:rsidRPr="00C56902">
        <w:rPr>
          <w:rFonts w:ascii="Calibri" w:eastAsia="Calibri" w:hAnsi="Calibri" w:cs="Times New Roman"/>
        </w:rPr>
        <w:t xml:space="preserve"> those definitions have been known for decades.  There is also a definition of a Short-term Exposure Limit (WES-STEL), viz.:</w:t>
      </w:r>
    </w:p>
    <w:p w14:paraId="42178057" w14:textId="77777777" w:rsidR="00C56902" w:rsidRPr="00C56902" w:rsidRDefault="00C56902" w:rsidP="00C56902">
      <w:pPr>
        <w:spacing w:after="0" w:line="240" w:lineRule="auto"/>
        <w:rPr>
          <w:rFonts w:ascii="Calibri" w:eastAsia="Calibri" w:hAnsi="Calibri" w:cs="Times New Roman"/>
        </w:rPr>
      </w:pPr>
    </w:p>
    <w:tbl>
      <w:tblPr>
        <w:tblW w:w="0" w:type="auto"/>
        <w:tblInd w:w="-108" w:type="dxa"/>
        <w:tblLayout w:type="fixed"/>
        <w:tblLook w:val="04A0" w:firstRow="1" w:lastRow="0" w:firstColumn="1" w:lastColumn="0" w:noHBand="0" w:noVBand="1"/>
      </w:tblPr>
      <w:tblGrid>
        <w:gridCol w:w="4463"/>
        <w:gridCol w:w="4464"/>
        <w:gridCol w:w="19426"/>
      </w:tblGrid>
      <w:tr w:rsidR="00C56902" w:rsidRPr="00C56902" w14:paraId="7F9CF6C7" w14:textId="77777777" w:rsidTr="00C56902">
        <w:trPr>
          <w:trHeight w:val="692"/>
        </w:trPr>
        <w:tc>
          <w:tcPr>
            <w:tcW w:w="28353" w:type="dxa"/>
            <w:gridSpan w:val="3"/>
            <w:hideMark/>
          </w:tcPr>
          <w:p w14:paraId="15C97A0B" w14:textId="77777777" w:rsidR="00C56902" w:rsidRDefault="00C56902" w:rsidP="00C56902">
            <w:pPr>
              <w:spacing w:after="0" w:line="240" w:lineRule="auto"/>
              <w:ind w:left="720"/>
              <w:jc w:val="both"/>
              <w:rPr>
                <w:rFonts w:ascii="Calibri" w:eastAsia="Calibri" w:hAnsi="Calibri" w:cs="Times New Roman"/>
                <w:i/>
                <w:iCs/>
              </w:rPr>
            </w:pPr>
            <w:r w:rsidRPr="00C56902">
              <w:rPr>
                <w:rFonts w:ascii="Calibri" w:eastAsia="Calibri" w:hAnsi="Calibri" w:cs="Times New Roman"/>
                <w:i/>
                <w:iCs/>
              </w:rPr>
              <w:t xml:space="preserve">The 15-minute time weighted average exposure standard. Applies to any 15-minute period </w:t>
            </w:r>
          </w:p>
          <w:p w14:paraId="62B8E121" w14:textId="77777777" w:rsidR="00C56902" w:rsidRDefault="00C56902" w:rsidP="00C56902">
            <w:pPr>
              <w:spacing w:after="0" w:line="240" w:lineRule="auto"/>
              <w:ind w:left="720"/>
              <w:jc w:val="both"/>
              <w:rPr>
                <w:rFonts w:ascii="Calibri" w:eastAsia="Calibri" w:hAnsi="Calibri" w:cs="Times New Roman"/>
                <w:i/>
                <w:iCs/>
              </w:rPr>
            </w:pPr>
            <w:r w:rsidRPr="00C56902">
              <w:rPr>
                <w:rFonts w:ascii="Calibri" w:eastAsia="Calibri" w:hAnsi="Calibri" w:cs="Times New Roman"/>
                <w:i/>
                <w:iCs/>
              </w:rPr>
              <w:t>in the working day</w:t>
            </w:r>
            <w:r>
              <w:rPr>
                <w:rFonts w:ascii="Calibri" w:eastAsia="Calibri" w:hAnsi="Calibri" w:cs="Times New Roman"/>
                <w:i/>
                <w:iCs/>
              </w:rPr>
              <w:t xml:space="preserve"> </w:t>
            </w:r>
            <w:r w:rsidRPr="00C56902">
              <w:rPr>
                <w:rFonts w:ascii="Calibri" w:eastAsia="Calibri" w:hAnsi="Calibri" w:cs="Times New Roman"/>
                <w:i/>
                <w:iCs/>
              </w:rPr>
              <w:t>and is designed to protect the worker against adverse effects of irritation,</w:t>
            </w:r>
          </w:p>
          <w:p w14:paraId="558FB37B" w14:textId="77777777" w:rsidR="00C56902" w:rsidRDefault="00C56902" w:rsidP="00C56902">
            <w:pPr>
              <w:spacing w:after="0" w:line="240" w:lineRule="auto"/>
              <w:ind w:left="720"/>
              <w:jc w:val="both"/>
              <w:rPr>
                <w:rFonts w:ascii="Calibri" w:eastAsia="Calibri" w:hAnsi="Calibri" w:cs="Times New Roman"/>
                <w:i/>
                <w:iCs/>
              </w:rPr>
            </w:pPr>
            <w:r w:rsidRPr="00C56902">
              <w:rPr>
                <w:rFonts w:ascii="Calibri" w:eastAsia="Calibri" w:hAnsi="Calibri" w:cs="Times New Roman"/>
                <w:i/>
                <w:iCs/>
              </w:rPr>
              <w:t>chronic or irreversible tissue change,</w:t>
            </w:r>
            <w:r>
              <w:rPr>
                <w:rFonts w:ascii="Calibri" w:eastAsia="Calibri" w:hAnsi="Calibri" w:cs="Times New Roman"/>
                <w:i/>
                <w:iCs/>
              </w:rPr>
              <w:t xml:space="preserve"> </w:t>
            </w:r>
            <w:r w:rsidRPr="00C56902">
              <w:rPr>
                <w:rFonts w:ascii="Calibri" w:eastAsia="Calibri" w:hAnsi="Calibri" w:cs="Times New Roman"/>
                <w:i/>
                <w:iCs/>
              </w:rPr>
              <w:t>or narcosis that may increase the likelihood of accidents.</w:t>
            </w:r>
          </w:p>
          <w:p w14:paraId="380235FE" w14:textId="77777777" w:rsidR="00C56902" w:rsidRDefault="00C56902" w:rsidP="00C56902">
            <w:pPr>
              <w:spacing w:after="0" w:line="240" w:lineRule="auto"/>
              <w:ind w:left="720"/>
              <w:jc w:val="both"/>
              <w:rPr>
                <w:rFonts w:ascii="Calibri" w:eastAsia="Calibri" w:hAnsi="Calibri" w:cs="Times New Roman"/>
                <w:i/>
                <w:iCs/>
              </w:rPr>
            </w:pPr>
            <w:r w:rsidRPr="00C56902">
              <w:rPr>
                <w:rFonts w:ascii="Calibri" w:eastAsia="Calibri" w:hAnsi="Calibri" w:cs="Times New Roman"/>
                <w:i/>
                <w:iCs/>
              </w:rPr>
              <w:t>The WES-STEL is not an alternative to the WES-TWA; both the short-term and time-weighted</w:t>
            </w:r>
          </w:p>
          <w:p w14:paraId="71A70B0E" w14:textId="77777777" w:rsidR="00C56902" w:rsidRDefault="00C56902" w:rsidP="00C56902">
            <w:pPr>
              <w:spacing w:after="0" w:line="240" w:lineRule="auto"/>
              <w:ind w:left="720"/>
              <w:jc w:val="both"/>
              <w:rPr>
                <w:rFonts w:ascii="Calibri" w:eastAsia="Calibri" w:hAnsi="Calibri" w:cs="Times New Roman"/>
                <w:i/>
                <w:iCs/>
              </w:rPr>
            </w:pPr>
            <w:r w:rsidRPr="00C56902">
              <w:rPr>
                <w:rFonts w:ascii="Calibri" w:eastAsia="Calibri" w:hAnsi="Calibri" w:cs="Times New Roman"/>
                <w:i/>
                <w:iCs/>
              </w:rPr>
              <w:t>average exposures apply. Exposures at concentrations between the</w:t>
            </w:r>
            <w:r>
              <w:rPr>
                <w:rFonts w:ascii="Calibri" w:eastAsia="Calibri" w:hAnsi="Calibri" w:cs="Times New Roman"/>
                <w:i/>
                <w:iCs/>
              </w:rPr>
              <w:t xml:space="preserve"> </w:t>
            </w:r>
            <w:r w:rsidRPr="00C56902">
              <w:rPr>
                <w:rFonts w:ascii="Calibri" w:eastAsia="Calibri" w:hAnsi="Calibri" w:cs="Times New Roman"/>
                <w:i/>
                <w:iCs/>
              </w:rPr>
              <w:t>WES-TWA and the WES-STEL</w:t>
            </w:r>
          </w:p>
          <w:p w14:paraId="437B7B00" w14:textId="77777777" w:rsidR="00C56902" w:rsidRDefault="00C56902" w:rsidP="00C56902">
            <w:pPr>
              <w:spacing w:after="0" w:line="240" w:lineRule="auto"/>
              <w:ind w:left="720"/>
              <w:jc w:val="both"/>
              <w:rPr>
                <w:rFonts w:ascii="Calibri" w:eastAsia="Calibri" w:hAnsi="Calibri" w:cs="Times New Roman"/>
                <w:i/>
                <w:iCs/>
              </w:rPr>
            </w:pPr>
            <w:r w:rsidRPr="00C56902">
              <w:rPr>
                <w:rFonts w:ascii="Calibri" w:eastAsia="Calibri" w:hAnsi="Calibri" w:cs="Times New Roman"/>
                <w:i/>
                <w:iCs/>
              </w:rPr>
              <w:t>should be less than 15 minutes, should occur no more than four times per day,</w:t>
            </w:r>
            <w:r>
              <w:rPr>
                <w:rFonts w:ascii="Calibri" w:eastAsia="Calibri" w:hAnsi="Calibri" w:cs="Times New Roman"/>
                <w:i/>
                <w:iCs/>
              </w:rPr>
              <w:t xml:space="preserve"> </w:t>
            </w:r>
            <w:r w:rsidRPr="00C56902">
              <w:rPr>
                <w:rFonts w:ascii="Calibri" w:eastAsia="Calibri" w:hAnsi="Calibri" w:cs="Times New Roman"/>
                <w:i/>
                <w:iCs/>
              </w:rPr>
              <w:t>and there should</w:t>
            </w:r>
          </w:p>
          <w:p w14:paraId="3C4008C3" w14:textId="732A83E4" w:rsidR="00C56902" w:rsidRPr="00C56902" w:rsidRDefault="00C56902" w:rsidP="00C56902">
            <w:pPr>
              <w:spacing w:after="0" w:line="240" w:lineRule="auto"/>
              <w:ind w:left="720"/>
              <w:jc w:val="both"/>
              <w:rPr>
                <w:rFonts w:ascii="Calibri" w:eastAsia="Calibri" w:hAnsi="Calibri" w:cs="Times New Roman"/>
                <w:i/>
                <w:iCs/>
              </w:rPr>
            </w:pPr>
            <w:r w:rsidRPr="00C56902">
              <w:rPr>
                <w:rFonts w:ascii="Calibri" w:eastAsia="Calibri" w:hAnsi="Calibri" w:cs="Times New Roman"/>
                <w:i/>
                <w:iCs/>
              </w:rPr>
              <w:t xml:space="preserve">be at least 60 minutes between successive exposures in this range. </w:t>
            </w:r>
          </w:p>
        </w:tc>
      </w:tr>
      <w:tr w:rsidR="00C56902" w:rsidRPr="00C56902" w14:paraId="12058633" w14:textId="77777777" w:rsidTr="00C56902">
        <w:trPr>
          <w:gridAfter w:val="1"/>
          <w:wAfter w:w="19426" w:type="dxa"/>
          <w:trHeight w:val="96"/>
        </w:trPr>
        <w:tc>
          <w:tcPr>
            <w:tcW w:w="4463" w:type="dxa"/>
          </w:tcPr>
          <w:p w14:paraId="43B43D9C" w14:textId="77777777" w:rsidR="00C56902" w:rsidRPr="00C56902" w:rsidRDefault="00C56902" w:rsidP="00C56902">
            <w:pPr>
              <w:spacing w:after="0" w:line="240" w:lineRule="auto"/>
              <w:rPr>
                <w:rFonts w:ascii="Calibri" w:eastAsia="Calibri" w:hAnsi="Calibri" w:cs="Times New Roman"/>
                <w:i/>
                <w:iCs/>
              </w:rPr>
            </w:pPr>
          </w:p>
        </w:tc>
        <w:tc>
          <w:tcPr>
            <w:tcW w:w="4464" w:type="dxa"/>
          </w:tcPr>
          <w:p w14:paraId="74AC5353" w14:textId="77777777" w:rsidR="00C56902" w:rsidRPr="00C56902" w:rsidRDefault="00C56902" w:rsidP="00C56902">
            <w:pPr>
              <w:spacing w:after="0" w:line="240" w:lineRule="auto"/>
              <w:rPr>
                <w:rFonts w:ascii="Calibri" w:eastAsia="Calibri" w:hAnsi="Calibri" w:cs="Times New Roman"/>
              </w:rPr>
            </w:pPr>
          </w:p>
        </w:tc>
      </w:tr>
    </w:tbl>
    <w:p w14:paraId="78FA0D7E"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Also included, as an attachment to the </w:t>
      </w:r>
      <w:proofErr w:type="gramStart"/>
      <w:r w:rsidRPr="00C56902">
        <w:rPr>
          <w:rFonts w:ascii="Calibri" w:eastAsia="Calibri" w:hAnsi="Calibri" w:cs="Times New Roman"/>
        </w:rPr>
        <w:t>response ,</w:t>
      </w:r>
      <w:proofErr w:type="gramEnd"/>
      <w:r w:rsidRPr="00C56902">
        <w:rPr>
          <w:rFonts w:ascii="Calibri" w:eastAsia="Calibri" w:hAnsi="Calibri" w:cs="Times New Roman"/>
        </w:rPr>
        <w:t xml:space="preserve"> is the current version (11</w:t>
      </w:r>
      <w:r w:rsidRPr="00C56902">
        <w:rPr>
          <w:rFonts w:ascii="Calibri" w:eastAsia="Calibri" w:hAnsi="Calibri" w:cs="Times New Roman"/>
          <w:vertAlign w:val="superscript"/>
        </w:rPr>
        <w:t>th</w:t>
      </w:r>
      <w:r w:rsidRPr="00C56902">
        <w:rPr>
          <w:rFonts w:ascii="Calibri" w:eastAsia="Calibri" w:hAnsi="Calibri" w:cs="Times New Roman"/>
        </w:rPr>
        <w:t xml:space="preserve"> Edition, November 2019) of the “Workplace exposure standards and biological exposure indices” document.</w:t>
      </w:r>
    </w:p>
    <w:p w14:paraId="2BE4991B" w14:textId="77777777" w:rsidR="00C56902" w:rsidRPr="00C56902" w:rsidRDefault="00C56902" w:rsidP="00C56902">
      <w:pPr>
        <w:spacing w:after="0" w:line="240" w:lineRule="auto"/>
        <w:rPr>
          <w:rFonts w:ascii="Calibri" w:eastAsia="Calibri" w:hAnsi="Calibri" w:cs="Times New Roman"/>
        </w:rPr>
      </w:pPr>
    </w:p>
    <w:p w14:paraId="7BD25DDF"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Workplace Exposure Standards have existed since the 1970s, administered by the then Department of Labour, with significant input from the then Department of Health (where I was employed).  When the Health and Safety in Employment Act 1992 came into force, the series with the expanded title, that is, including Biological Exposure Indices, started to be issued by the Ministry of Business, Innovation and Employment, in conjunction with such agencies as the Environmental Risk Management Authority/Environmental Protection Authority and Responsible Care New Zealand Incorporated, and input from others.</w:t>
      </w:r>
    </w:p>
    <w:p w14:paraId="506835A3" w14:textId="77777777" w:rsidR="00C56902" w:rsidRPr="00C56902" w:rsidRDefault="00C56902" w:rsidP="00C56902">
      <w:pPr>
        <w:spacing w:after="0" w:line="240" w:lineRule="auto"/>
        <w:rPr>
          <w:rFonts w:ascii="Calibri" w:eastAsia="Calibri" w:hAnsi="Calibri" w:cs="Times New Roman"/>
        </w:rPr>
      </w:pPr>
    </w:p>
    <w:p w14:paraId="48DE9158"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The first edition of the series was published in 1994, and the document was revised as Editions 2 to 11 and published in 2001, 2002, 2010, 2010 (again), 2011, 2013, 2014, 2017, 2018, and 2019, respectively.  All three of fumigants considered here are listed in the 11</w:t>
      </w:r>
      <w:r w:rsidRPr="00C56902">
        <w:rPr>
          <w:rFonts w:ascii="Calibri" w:eastAsia="Calibri" w:hAnsi="Calibri" w:cs="Times New Roman"/>
          <w:vertAlign w:val="superscript"/>
        </w:rPr>
        <w:t>th</w:t>
      </w:r>
      <w:r w:rsidRPr="00C56902">
        <w:rPr>
          <w:rFonts w:ascii="Calibri" w:eastAsia="Calibri" w:hAnsi="Calibri" w:cs="Times New Roman"/>
        </w:rPr>
        <w:t xml:space="preserve"> Edition, viz.:</w:t>
      </w:r>
    </w:p>
    <w:p w14:paraId="1D7AC2B9" w14:textId="77777777" w:rsidR="00C56902" w:rsidRPr="00C56902" w:rsidRDefault="00C56902" w:rsidP="00C56902">
      <w:pPr>
        <w:spacing w:after="0" w:line="240" w:lineRule="auto"/>
        <w:rPr>
          <w:rFonts w:ascii="Calibri" w:eastAsia="Calibri" w:hAnsi="Calibri" w:cs="Times New Roman"/>
        </w:rPr>
      </w:pPr>
    </w:p>
    <w:p w14:paraId="098D0050" w14:textId="77777777" w:rsidR="00C56902" w:rsidRPr="00C56902" w:rsidRDefault="00C56902" w:rsidP="00C56902">
      <w:pPr>
        <w:numPr>
          <w:ilvl w:val="0"/>
          <w:numId w:val="5"/>
        </w:numPr>
        <w:spacing w:after="0" w:line="240" w:lineRule="auto"/>
        <w:rPr>
          <w:rFonts w:ascii="Calibri" w:eastAsia="Calibri" w:hAnsi="Calibri" w:cs="Times New Roman"/>
        </w:rPr>
      </w:pPr>
      <w:r w:rsidRPr="00C56902">
        <w:rPr>
          <w:rFonts w:ascii="Calibri" w:eastAsia="Calibri" w:hAnsi="Calibri" w:cs="Times New Roman"/>
        </w:rPr>
        <w:t>Methyl Bromide: a WES-TWA of 5 ppm (19 mg/m</w:t>
      </w:r>
      <w:r w:rsidRPr="00C56902">
        <w:rPr>
          <w:rFonts w:ascii="Calibri" w:eastAsia="Calibri" w:hAnsi="Calibri" w:cs="Times New Roman"/>
          <w:vertAlign w:val="superscript"/>
        </w:rPr>
        <w:t>3</w:t>
      </w:r>
      <w:r w:rsidRPr="00C56902">
        <w:rPr>
          <w:rFonts w:ascii="Calibri" w:eastAsia="Calibri" w:hAnsi="Calibri" w:cs="Times New Roman"/>
        </w:rPr>
        <w:t>)</w:t>
      </w:r>
    </w:p>
    <w:p w14:paraId="0151AD05" w14:textId="77777777" w:rsidR="00C56902" w:rsidRPr="00C56902" w:rsidRDefault="00C56902" w:rsidP="00C56902">
      <w:pPr>
        <w:spacing w:after="0" w:line="240" w:lineRule="auto"/>
        <w:rPr>
          <w:rFonts w:ascii="Calibri" w:eastAsia="Calibri" w:hAnsi="Calibri" w:cs="Times New Roman"/>
        </w:rPr>
      </w:pPr>
    </w:p>
    <w:p w14:paraId="356755E2" w14:textId="77777777" w:rsidR="00C56902" w:rsidRPr="00C56902" w:rsidRDefault="00C56902" w:rsidP="00C56902">
      <w:pPr>
        <w:numPr>
          <w:ilvl w:val="0"/>
          <w:numId w:val="5"/>
        </w:numPr>
        <w:spacing w:after="0" w:line="240" w:lineRule="auto"/>
        <w:rPr>
          <w:rFonts w:ascii="Calibri" w:eastAsia="Calibri" w:hAnsi="Calibri" w:cs="Times New Roman"/>
        </w:rPr>
      </w:pPr>
      <w:r w:rsidRPr="00C56902">
        <w:rPr>
          <w:rFonts w:ascii="Calibri" w:eastAsia="Calibri" w:hAnsi="Calibri" w:cs="Times New Roman"/>
        </w:rPr>
        <w:t>Phosphine:  a WES-TWA of 0.3 ppm (0.42 mg/m</w:t>
      </w:r>
      <w:r w:rsidRPr="00C56902">
        <w:rPr>
          <w:rFonts w:ascii="Calibri" w:eastAsia="Calibri" w:hAnsi="Calibri" w:cs="Times New Roman"/>
          <w:vertAlign w:val="superscript"/>
        </w:rPr>
        <w:t>3</w:t>
      </w:r>
      <w:r w:rsidRPr="00C56902">
        <w:rPr>
          <w:rFonts w:ascii="Calibri" w:eastAsia="Calibri" w:hAnsi="Calibri" w:cs="Times New Roman"/>
        </w:rPr>
        <w:t>) – a 2019 change</w:t>
      </w:r>
    </w:p>
    <w:p w14:paraId="58569A5D" w14:textId="77777777" w:rsidR="00C56902" w:rsidRPr="00C56902" w:rsidRDefault="00C56902" w:rsidP="00C56902">
      <w:pPr>
        <w:spacing w:after="0" w:line="240" w:lineRule="auto"/>
        <w:rPr>
          <w:rFonts w:ascii="Calibri" w:eastAsia="Calibri" w:hAnsi="Calibri" w:cs="Times New Roman"/>
        </w:rPr>
      </w:pPr>
    </w:p>
    <w:p w14:paraId="0D6CD03C" w14:textId="77777777" w:rsidR="00C56902" w:rsidRPr="00C56902" w:rsidRDefault="00C56902" w:rsidP="00C56902">
      <w:pPr>
        <w:numPr>
          <w:ilvl w:val="0"/>
          <w:numId w:val="5"/>
        </w:numPr>
        <w:spacing w:after="0" w:line="240" w:lineRule="auto"/>
        <w:rPr>
          <w:rFonts w:ascii="Calibri" w:eastAsia="Calibri" w:hAnsi="Calibri" w:cs="Times New Roman"/>
        </w:rPr>
      </w:pPr>
      <w:proofErr w:type="spellStart"/>
      <w:r w:rsidRPr="00C56902">
        <w:rPr>
          <w:rFonts w:ascii="Calibri" w:eastAsia="Calibri" w:hAnsi="Calibri" w:cs="Times New Roman"/>
        </w:rPr>
        <w:t>Ethanedinitrile</w:t>
      </w:r>
      <w:proofErr w:type="spellEnd"/>
      <w:r w:rsidRPr="00C56902">
        <w:rPr>
          <w:rFonts w:ascii="Calibri" w:eastAsia="Calibri" w:hAnsi="Calibri" w:cs="Times New Roman"/>
        </w:rPr>
        <w:t>:  a WES-TWA of 3 ppm (6.4 mg/m</w:t>
      </w:r>
      <w:r w:rsidRPr="00C56902">
        <w:rPr>
          <w:rFonts w:ascii="Calibri" w:eastAsia="Calibri" w:hAnsi="Calibri" w:cs="Times New Roman"/>
          <w:vertAlign w:val="superscript"/>
        </w:rPr>
        <w:t>3</w:t>
      </w:r>
      <w:r w:rsidRPr="00C56902">
        <w:rPr>
          <w:rFonts w:ascii="Calibri" w:eastAsia="Calibri" w:hAnsi="Calibri" w:cs="Times New Roman"/>
        </w:rPr>
        <w:t>); a WES-STEL ceiling of 5 ppm (10.6 mg/m</w:t>
      </w:r>
      <w:r w:rsidRPr="00C56902">
        <w:rPr>
          <w:rFonts w:ascii="Calibri" w:eastAsia="Calibri" w:hAnsi="Calibri" w:cs="Times New Roman"/>
          <w:vertAlign w:val="superscript"/>
        </w:rPr>
        <w:t>3</w:t>
      </w:r>
      <w:r w:rsidRPr="00C56902">
        <w:rPr>
          <w:rFonts w:ascii="Calibri" w:eastAsia="Calibri" w:hAnsi="Calibri" w:cs="Times New Roman"/>
        </w:rPr>
        <w:t xml:space="preserve">) – introduced in 2018  </w:t>
      </w:r>
    </w:p>
    <w:p w14:paraId="227D373C" w14:textId="77777777" w:rsidR="00C56902" w:rsidRPr="00C56902" w:rsidRDefault="00C56902" w:rsidP="00C56902">
      <w:pPr>
        <w:spacing w:after="0" w:line="240" w:lineRule="auto"/>
        <w:rPr>
          <w:rFonts w:ascii="Calibri" w:eastAsia="Calibri" w:hAnsi="Calibri" w:cs="Times New Roman"/>
        </w:rPr>
      </w:pPr>
    </w:p>
    <w:p w14:paraId="38BCBD6F"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The responsible agency is now </w:t>
      </w:r>
      <w:proofErr w:type="spellStart"/>
      <w:r w:rsidRPr="00C56902">
        <w:rPr>
          <w:rFonts w:ascii="Calibri" w:eastAsia="Calibri" w:hAnsi="Calibri" w:cs="Times New Roman"/>
        </w:rPr>
        <w:t>Worksafe</w:t>
      </w:r>
      <w:proofErr w:type="spellEnd"/>
      <w:r w:rsidRPr="00C56902">
        <w:rPr>
          <w:rFonts w:ascii="Calibri" w:eastAsia="Calibri" w:hAnsi="Calibri" w:cs="Times New Roman"/>
        </w:rPr>
        <w:t xml:space="preserve"> New Zealand (WorkSafe), under the Health and Safety at Work Act 2015 and the Health and Safety at Work (General Risk </w:t>
      </w:r>
      <w:proofErr w:type="gramStart"/>
      <w:r w:rsidRPr="00C56902">
        <w:rPr>
          <w:rFonts w:ascii="Calibri" w:eastAsia="Calibri" w:hAnsi="Calibri" w:cs="Times New Roman"/>
        </w:rPr>
        <w:t>And</w:t>
      </w:r>
      <w:proofErr w:type="gramEnd"/>
      <w:r w:rsidRPr="00C56902">
        <w:rPr>
          <w:rFonts w:ascii="Calibri" w:eastAsia="Calibri" w:hAnsi="Calibri" w:cs="Times New Roman"/>
        </w:rPr>
        <w:t xml:space="preserve"> Workplace Management) </w:t>
      </w:r>
      <w:r w:rsidRPr="00C56902">
        <w:rPr>
          <w:rFonts w:ascii="Calibri" w:eastAsia="Calibri" w:hAnsi="Calibri" w:cs="Times New Roman"/>
        </w:rPr>
        <w:lastRenderedPageBreak/>
        <w:t xml:space="preserve">Regulations 2016.  There are proposed changes to the WES of 18 substances later this year, but none to those for the three fumigants considered here.  </w:t>
      </w:r>
    </w:p>
    <w:p w14:paraId="3BBC0D7D" w14:textId="77777777" w:rsidR="00C56902" w:rsidRPr="00C56902" w:rsidRDefault="00C56902" w:rsidP="00C56902">
      <w:pPr>
        <w:spacing w:after="0" w:line="240" w:lineRule="auto"/>
        <w:rPr>
          <w:rFonts w:ascii="Calibri" w:eastAsia="Calibri" w:hAnsi="Calibri" w:cs="Times New Roman"/>
        </w:rPr>
      </w:pPr>
    </w:p>
    <w:p w14:paraId="385E36CC"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Although Workplace Exposure Standards provide useful information about the relative toxicity of air contaminants their use (with adaptation) as air quality criteria should be avoided.  There is a long-established hierarchy of criteria for assessing the effects of air quality, viz.</w:t>
      </w:r>
    </w:p>
    <w:p w14:paraId="11690767" w14:textId="77777777" w:rsidR="00C56902" w:rsidRPr="00C56902" w:rsidRDefault="00C56902" w:rsidP="00C56902">
      <w:pPr>
        <w:spacing w:after="0" w:line="240" w:lineRule="auto"/>
        <w:rPr>
          <w:rFonts w:ascii="Calibri" w:eastAsia="Calibri" w:hAnsi="Calibri" w:cs="Times New Roman"/>
        </w:rPr>
      </w:pPr>
    </w:p>
    <w:p w14:paraId="054DC55A" w14:textId="77777777" w:rsidR="00C56902" w:rsidRPr="00C56902" w:rsidRDefault="00C56902" w:rsidP="00C56902">
      <w:pPr>
        <w:numPr>
          <w:ilvl w:val="0"/>
          <w:numId w:val="6"/>
        </w:numPr>
        <w:spacing w:after="0" w:line="240" w:lineRule="auto"/>
        <w:rPr>
          <w:rFonts w:ascii="Calibri" w:eastAsia="Calibri" w:hAnsi="Calibri" w:cs="Times New Roman"/>
        </w:rPr>
      </w:pPr>
      <w:r w:rsidRPr="00C56902">
        <w:rPr>
          <w:rFonts w:ascii="Calibri" w:eastAsia="Calibri" w:hAnsi="Calibri" w:cs="Times New Roman"/>
        </w:rPr>
        <w:t>National Environmental Standards for Air Quality (NES-Air Quality)</w:t>
      </w:r>
    </w:p>
    <w:p w14:paraId="1398B363" w14:textId="77777777" w:rsidR="00C56902" w:rsidRPr="00C56902" w:rsidRDefault="00C56902" w:rsidP="00C56902">
      <w:pPr>
        <w:spacing w:after="0" w:line="240" w:lineRule="auto"/>
        <w:rPr>
          <w:rFonts w:ascii="Calibri" w:eastAsia="Calibri" w:hAnsi="Calibri" w:cs="Times New Roman"/>
        </w:rPr>
      </w:pPr>
    </w:p>
    <w:p w14:paraId="64269E73" w14:textId="77777777" w:rsidR="00C56902" w:rsidRPr="00C56902" w:rsidRDefault="00C56902" w:rsidP="00C56902">
      <w:pPr>
        <w:numPr>
          <w:ilvl w:val="0"/>
          <w:numId w:val="6"/>
        </w:numPr>
        <w:spacing w:after="0" w:line="240" w:lineRule="auto"/>
        <w:rPr>
          <w:rFonts w:ascii="Calibri" w:eastAsia="Calibri" w:hAnsi="Calibri" w:cs="Times New Roman"/>
        </w:rPr>
      </w:pPr>
      <w:r w:rsidRPr="00C56902">
        <w:rPr>
          <w:rFonts w:ascii="Calibri" w:eastAsia="Calibri" w:hAnsi="Calibri" w:cs="Times New Roman"/>
        </w:rPr>
        <w:t>National Ambient Air Quality Standards (NAAQGs)</w:t>
      </w:r>
    </w:p>
    <w:p w14:paraId="3899988A" w14:textId="77777777" w:rsidR="00C56902" w:rsidRPr="00C56902" w:rsidRDefault="00C56902" w:rsidP="00C56902">
      <w:pPr>
        <w:spacing w:after="0" w:line="240" w:lineRule="auto"/>
        <w:rPr>
          <w:rFonts w:ascii="Calibri" w:eastAsia="Calibri" w:hAnsi="Calibri" w:cs="Times New Roman"/>
        </w:rPr>
      </w:pPr>
    </w:p>
    <w:p w14:paraId="777DBC26" w14:textId="77777777" w:rsidR="00C56902" w:rsidRPr="00C56902" w:rsidRDefault="00C56902" w:rsidP="00C56902">
      <w:pPr>
        <w:numPr>
          <w:ilvl w:val="0"/>
          <w:numId w:val="6"/>
        </w:numPr>
        <w:spacing w:after="0" w:line="240" w:lineRule="auto"/>
        <w:rPr>
          <w:rFonts w:ascii="Calibri" w:eastAsia="Calibri" w:hAnsi="Calibri" w:cs="Times New Roman"/>
        </w:rPr>
      </w:pPr>
      <w:r w:rsidRPr="00C56902">
        <w:rPr>
          <w:rFonts w:ascii="Calibri" w:eastAsia="Calibri" w:hAnsi="Calibri" w:cs="Times New Roman"/>
        </w:rPr>
        <w:t>Any Regional Guidelines</w:t>
      </w:r>
    </w:p>
    <w:p w14:paraId="2DA7EBBA" w14:textId="77777777" w:rsidR="00C56902" w:rsidRPr="00C56902" w:rsidRDefault="00C56902" w:rsidP="00C56902">
      <w:pPr>
        <w:spacing w:after="0" w:line="240" w:lineRule="auto"/>
        <w:rPr>
          <w:rFonts w:ascii="Calibri" w:eastAsia="Calibri" w:hAnsi="Calibri" w:cs="Times New Roman"/>
        </w:rPr>
      </w:pPr>
    </w:p>
    <w:p w14:paraId="1E0B0408" w14:textId="77777777" w:rsidR="00C56902" w:rsidRPr="00C56902" w:rsidRDefault="00C56902" w:rsidP="00C56902">
      <w:pPr>
        <w:numPr>
          <w:ilvl w:val="0"/>
          <w:numId w:val="6"/>
        </w:numPr>
        <w:spacing w:after="0" w:line="240" w:lineRule="auto"/>
        <w:rPr>
          <w:rFonts w:ascii="Calibri" w:eastAsia="Calibri" w:hAnsi="Calibri" w:cs="Times New Roman"/>
        </w:rPr>
      </w:pPr>
      <w:r w:rsidRPr="00C56902">
        <w:rPr>
          <w:rFonts w:ascii="Calibri" w:eastAsia="Calibri" w:hAnsi="Calibri" w:cs="Times New Roman"/>
        </w:rPr>
        <w:t>World Health Organization (WHO) Air Quality Guidelines</w:t>
      </w:r>
    </w:p>
    <w:p w14:paraId="27A668FF" w14:textId="77777777" w:rsidR="00C56902" w:rsidRPr="00C56902" w:rsidRDefault="00C56902" w:rsidP="00C56902">
      <w:pPr>
        <w:spacing w:after="0" w:line="240" w:lineRule="auto"/>
        <w:rPr>
          <w:rFonts w:ascii="Calibri" w:eastAsia="Calibri" w:hAnsi="Calibri" w:cs="Times New Roman"/>
        </w:rPr>
      </w:pPr>
    </w:p>
    <w:p w14:paraId="3616BA0E" w14:textId="77777777" w:rsidR="00C56902" w:rsidRPr="00C56902" w:rsidRDefault="00C56902" w:rsidP="00C56902">
      <w:pPr>
        <w:numPr>
          <w:ilvl w:val="0"/>
          <w:numId w:val="6"/>
        </w:numPr>
        <w:spacing w:after="0" w:line="240" w:lineRule="auto"/>
        <w:rPr>
          <w:rFonts w:ascii="Calibri" w:eastAsia="Calibri" w:hAnsi="Calibri" w:cs="Times New Roman"/>
        </w:rPr>
      </w:pPr>
      <w:r w:rsidRPr="00C56902">
        <w:rPr>
          <w:rFonts w:ascii="Calibri" w:eastAsia="Calibri" w:hAnsi="Calibri" w:cs="Times New Roman"/>
        </w:rPr>
        <w:t xml:space="preserve">Other international criteria such as the California Environmental Protection Agency (CEPA) reference exposure levels (acute and chronic), the United States Environmental Protection Agency (USEPA) inhalation reference concentrations and unit risk factors (chronic), the US National Research Council Committee on Acute Exposure Guideline Levels (AEGL), etc </w:t>
      </w:r>
    </w:p>
    <w:p w14:paraId="20EC8680" w14:textId="77777777" w:rsidR="00C56902" w:rsidRPr="00C56902" w:rsidRDefault="00C56902" w:rsidP="00C56902">
      <w:pPr>
        <w:spacing w:after="0" w:line="240" w:lineRule="auto"/>
        <w:rPr>
          <w:rFonts w:ascii="Calibri" w:eastAsia="Calibri" w:hAnsi="Calibri" w:cs="Times New Roman"/>
        </w:rPr>
      </w:pPr>
    </w:p>
    <w:p w14:paraId="2CF0A70E"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There are no NES-Air Quality, NAAQGs, Regional Guidelines, or WHO Air Quality Guidelines for Methyl Bromide, Phosphine, or </w:t>
      </w:r>
      <w:proofErr w:type="spellStart"/>
      <w:r w:rsidRPr="00C56902">
        <w:rPr>
          <w:rFonts w:ascii="Calibri" w:eastAsia="Calibri" w:hAnsi="Calibri" w:cs="Times New Roman"/>
        </w:rPr>
        <w:t>Ethanedinitrile</w:t>
      </w:r>
      <w:proofErr w:type="spellEnd"/>
      <w:r w:rsidRPr="00C56902">
        <w:rPr>
          <w:rFonts w:ascii="Calibri" w:eastAsia="Calibri" w:hAnsi="Calibri" w:cs="Times New Roman"/>
        </w:rPr>
        <w:t xml:space="preserve">.   The ERMA (now EPA) tolerable exposure limits for those fumigants are derived from CEPA and AEGL guidance.  On the question of adapting Workplace Exposure Standards, such as those in the WorkSafe WES document, as criteria for an air quality assessment, they should only be used as a last resort and only by experienced practitioners with expertise in this field.   </w:t>
      </w:r>
      <w:proofErr w:type="gramStart"/>
      <w:r w:rsidRPr="00C56902">
        <w:rPr>
          <w:rFonts w:ascii="Calibri" w:eastAsia="Calibri" w:hAnsi="Calibri" w:cs="Times New Roman"/>
        </w:rPr>
        <w:t>Hence</w:t>
      </w:r>
      <w:proofErr w:type="gramEnd"/>
      <w:r w:rsidRPr="00C56902">
        <w:rPr>
          <w:rFonts w:ascii="Calibri" w:eastAsia="Calibri" w:hAnsi="Calibri" w:cs="Times New Roman"/>
        </w:rPr>
        <w:t xml:space="preserve"> they are not recommended for use in this assessment.</w:t>
      </w:r>
    </w:p>
    <w:p w14:paraId="274593A9" w14:textId="77777777" w:rsidR="00C56902" w:rsidRPr="00C56902" w:rsidRDefault="00C56902" w:rsidP="00C56902">
      <w:pPr>
        <w:spacing w:after="0" w:line="240" w:lineRule="auto"/>
        <w:rPr>
          <w:rFonts w:ascii="Calibri" w:eastAsia="Calibri" w:hAnsi="Calibri" w:cs="Times New Roman"/>
          <w:u w:val="single"/>
        </w:rPr>
      </w:pPr>
    </w:p>
    <w:p w14:paraId="333E907D" w14:textId="77777777" w:rsidR="00C56902" w:rsidRPr="00C56902" w:rsidRDefault="00C56902" w:rsidP="00C56902">
      <w:pPr>
        <w:spacing w:after="0" w:line="240" w:lineRule="auto"/>
        <w:rPr>
          <w:rFonts w:ascii="Calibri" w:eastAsia="Calibri" w:hAnsi="Calibri" w:cs="Times New Roman"/>
          <w:u w:val="single"/>
        </w:rPr>
      </w:pPr>
      <w:r w:rsidRPr="00C56902">
        <w:rPr>
          <w:rFonts w:ascii="Calibri" w:eastAsia="Calibri" w:hAnsi="Calibri" w:cs="Times New Roman"/>
          <w:u w:val="single"/>
        </w:rPr>
        <w:t>Other matters</w:t>
      </w:r>
    </w:p>
    <w:p w14:paraId="0239D9F0" w14:textId="77777777" w:rsidR="00C56902" w:rsidRPr="00C56902" w:rsidRDefault="00C56902" w:rsidP="00C56902">
      <w:pPr>
        <w:spacing w:after="0" w:line="240" w:lineRule="auto"/>
        <w:rPr>
          <w:rFonts w:ascii="Calibri" w:eastAsia="Calibri" w:hAnsi="Calibri" w:cs="Times New Roman"/>
        </w:rPr>
      </w:pPr>
    </w:p>
    <w:p w14:paraId="006A8D74"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A couple of other matters, both of which I have raised before.  First, when I was engaged by the Bay of Plenty Regional Council to work on this application, on 4 December </w:t>
      </w:r>
      <w:proofErr w:type="gramStart"/>
      <w:r w:rsidRPr="00C56902">
        <w:rPr>
          <w:rFonts w:ascii="Calibri" w:eastAsia="Calibri" w:hAnsi="Calibri" w:cs="Times New Roman"/>
        </w:rPr>
        <w:t>2019,  it</w:t>
      </w:r>
      <w:proofErr w:type="gramEnd"/>
      <w:r w:rsidRPr="00C56902">
        <w:rPr>
          <w:rFonts w:ascii="Calibri" w:eastAsia="Calibri" w:hAnsi="Calibri" w:cs="Times New Roman"/>
        </w:rPr>
        <w:t xml:space="preserve"> was based on an expectation that a visit to the Genera site in Tauranga would soon occur.  As I recorded in my preliminary report of 16 December 2019 (see footnote 2 on page 3 of my report) that was expected early in 2020.  That visit </w:t>
      </w:r>
      <w:proofErr w:type="gramStart"/>
      <w:r w:rsidRPr="00C56902">
        <w:rPr>
          <w:rFonts w:ascii="Calibri" w:eastAsia="Calibri" w:hAnsi="Calibri" w:cs="Times New Roman"/>
        </w:rPr>
        <w:t>didn’t</w:t>
      </w:r>
      <w:proofErr w:type="gramEnd"/>
      <w:r w:rsidRPr="00C56902">
        <w:rPr>
          <w:rFonts w:ascii="Calibri" w:eastAsia="Calibri" w:hAnsi="Calibri" w:cs="Times New Roman"/>
        </w:rPr>
        <w:t xml:space="preserve"> happen; I have no explanation for why not.  I would be grateful if a visit could be set up to happen as soon as possible.</w:t>
      </w:r>
    </w:p>
    <w:p w14:paraId="12C156A4" w14:textId="77777777" w:rsidR="00C56902" w:rsidRPr="00C56902" w:rsidRDefault="00C56902" w:rsidP="00C56902">
      <w:pPr>
        <w:spacing w:after="0" w:line="240" w:lineRule="auto"/>
        <w:rPr>
          <w:rFonts w:ascii="Calibri" w:eastAsia="Calibri" w:hAnsi="Calibri" w:cs="Times New Roman"/>
        </w:rPr>
      </w:pPr>
    </w:p>
    <w:p w14:paraId="1E257E3B"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Second, again to repeat, where to from here?  As previously advised by email, I suggest a team meeting where the further information received, these comments, and those of any others can be discussed.  Please expedite that, preferably at the same time as the site visit.</w:t>
      </w:r>
    </w:p>
    <w:p w14:paraId="1F686E0A" w14:textId="77777777" w:rsidR="00C56902" w:rsidRPr="00C56902" w:rsidRDefault="00C56902" w:rsidP="00C56902">
      <w:pPr>
        <w:spacing w:after="0" w:line="240" w:lineRule="auto"/>
        <w:rPr>
          <w:rFonts w:ascii="Calibri" w:eastAsia="Calibri" w:hAnsi="Calibri" w:cs="Times New Roman"/>
        </w:rPr>
      </w:pPr>
    </w:p>
    <w:p w14:paraId="04524210"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If you, or others, have any comments on these inputs, please let me know.</w:t>
      </w:r>
    </w:p>
    <w:p w14:paraId="62BD1DC7" w14:textId="77777777" w:rsidR="00C56902" w:rsidRPr="00C56902" w:rsidRDefault="00C56902" w:rsidP="00C56902">
      <w:pPr>
        <w:spacing w:after="0" w:line="240" w:lineRule="auto"/>
        <w:rPr>
          <w:rFonts w:ascii="Calibri" w:eastAsia="Calibri" w:hAnsi="Calibri" w:cs="Times New Roman"/>
        </w:rPr>
      </w:pPr>
    </w:p>
    <w:p w14:paraId="0C2C3D74"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 xml:space="preserve">Nga mihi </w:t>
      </w:r>
      <w:proofErr w:type="spellStart"/>
      <w:r w:rsidRPr="00C56902">
        <w:rPr>
          <w:rFonts w:ascii="Calibri" w:eastAsia="Calibri" w:hAnsi="Calibri" w:cs="Times New Roman"/>
        </w:rPr>
        <w:t>nui</w:t>
      </w:r>
      <w:proofErr w:type="spellEnd"/>
    </w:p>
    <w:p w14:paraId="183E3CAC" w14:textId="77777777" w:rsidR="00C56902" w:rsidRPr="00C56902" w:rsidRDefault="00C56902" w:rsidP="00C56902">
      <w:pPr>
        <w:spacing w:after="0" w:line="240" w:lineRule="auto"/>
        <w:rPr>
          <w:rFonts w:ascii="Calibri" w:eastAsia="Calibri" w:hAnsi="Calibri" w:cs="Times New Roman"/>
        </w:rPr>
      </w:pPr>
      <w:r w:rsidRPr="00C56902">
        <w:rPr>
          <w:rFonts w:ascii="Calibri" w:eastAsia="Calibri" w:hAnsi="Calibri" w:cs="Times New Roman"/>
        </w:rPr>
        <w:t>Kevin</w:t>
      </w:r>
    </w:p>
    <w:p w14:paraId="26AA486F" w14:textId="77777777" w:rsidR="00C56902" w:rsidRPr="00C56902" w:rsidRDefault="00C56902" w:rsidP="00C56902">
      <w:pPr>
        <w:spacing w:after="0" w:line="240" w:lineRule="auto"/>
        <w:rPr>
          <w:rFonts w:ascii="Calibri" w:eastAsia="Calibri" w:hAnsi="Calibri" w:cs="Calibri"/>
        </w:rPr>
      </w:pPr>
    </w:p>
    <w:p w14:paraId="6DA99BC5" w14:textId="77777777" w:rsidR="00C56902" w:rsidRPr="00C56902" w:rsidRDefault="00C56902" w:rsidP="00C56902">
      <w:pPr>
        <w:spacing w:after="0" w:line="240" w:lineRule="auto"/>
        <w:rPr>
          <w:rFonts w:ascii="Calibri" w:eastAsia="Calibri" w:hAnsi="Calibri" w:cs="Calibri"/>
        </w:rPr>
      </w:pPr>
      <w:r w:rsidRPr="00C56902">
        <w:rPr>
          <w:rFonts w:ascii="Calibri" w:eastAsia="Calibri" w:hAnsi="Calibri" w:cs="Calibri"/>
        </w:rPr>
        <w:t>Chartered Chemical Engineer (UK), Registered Chemical Engineer (Australia), Chartered Scientist (UK)</w:t>
      </w:r>
    </w:p>
    <w:p w14:paraId="1EC9BF6B" w14:textId="77777777" w:rsidR="00C56902" w:rsidRPr="00C56902" w:rsidRDefault="00C56902" w:rsidP="00C56902">
      <w:pPr>
        <w:spacing w:after="0" w:line="240" w:lineRule="auto"/>
        <w:rPr>
          <w:rFonts w:ascii="Calibri" w:eastAsia="Calibri" w:hAnsi="Calibri" w:cs="Calibri"/>
        </w:rPr>
      </w:pPr>
    </w:p>
    <w:p w14:paraId="3CC1203F" w14:textId="77777777" w:rsidR="00C56902" w:rsidRPr="00C56902" w:rsidRDefault="00C56902" w:rsidP="00C56902">
      <w:pPr>
        <w:spacing w:after="0" w:line="240" w:lineRule="auto"/>
        <w:rPr>
          <w:rFonts w:ascii="Calibri" w:eastAsia="Calibri" w:hAnsi="Calibri" w:cs="Calibri"/>
        </w:rPr>
      </w:pPr>
      <w:r w:rsidRPr="00C56902">
        <w:rPr>
          <w:rFonts w:ascii="Calibri" w:eastAsia="Calibri" w:hAnsi="Calibri" w:cs="Calibri"/>
        </w:rPr>
        <w:t>formerly, the Chief Executive Officer, Environmental Services Australia</w:t>
      </w:r>
    </w:p>
    <w:p w14:paraId="57FEE973" w14:textId="77777777" w:rsidR="00C56902" w:rsidRPr="00C56902" w:rsidRDefault="00C56902" w:rsidP="00C56902">
      <w:pPr>
        <w:spacing w:after="0" w:line="240" w:lineRule="auto"/>
        <w:rPr>
          <w:rFonts w:ascii="Calibri" w:eastAsia="Calibri" w:hAnsi="Calibri" w:cs="Calibri"/>
        </w:rPr>
      </w:pPr>
      <w:r w:rsidRPr="00C56902">
        <w:rPr>
          <w:rFonts w:ascii="Calibri" w:eastAsia="Calibri" w:hAnsi="Calibri" w:cs="Calibri"/>
        </w:rPr>
        <w:t>formerly, the Air Quality Management Specialist, the World Health Organization</w:t>
      </w:r>
    </w:p>
    <w:p w14:paraId="694ED570" w14:textId="77777777" w:rsidR="00C56902" w:rsidRPr="00C56902" w:rsidRDefault="00C56902" w:rsidP="00C56902">
      <w:pPr>
        <w:spacing w:after="0" w:line="240" w:lineRule="auto"/>
        <w:rPr>
          <w:rFonts w:ascii="Calibri" w:eastAsia="Times New Roman" w:hAnsi="Calibri" w:cs="Times New Roman"/>
          <w:noProof/>
          <w:lang w:val="en-US" w:eastAsia="en-NZ"/>
        </w:rPr>
      </w:pPr>
      <w:bookmarkStart w:id="0" w:name="_MailAutoSig"/>
    </w:p>
    <w:tbl>
      <w:tblPr>
        <w:tblW w:w="9657" w:type="dxa"/>
        <w:tblCellMar>
          <w:left w:w="0" w:type="dxa"/>
          <w:right w:w="0" w:type="dxa"/>
        </w:tblCellMar>
        <w:tblLook w:val="04A0" w:firstRow="1" w:lastRow="0" w:firstColumn="1" w:lastColumn="0" w:noHBand="0" w:noVBand="1"/>
      </w:tblPr>
      <w:tblGrid>
        <w:gridCol w:w="3246"/>
        <w:gridCol w:w="6411"/>
      </w:tblGrid>
      <w:tr w:rsidR="00C56902" w:rsidRPr="00C56902" w14:paraId="751E314F" w14:textId="77777777" w:rsidTr="00C56902">
        <w:trPr>
          <w:trHeight w:val="3540"/>
        </w:trPr>
        <w:tc>
          <w:tcPr>
            <w:tcW w:w="3246" w:type="dxa"/>
            <w:tcBorders>
              <w:top w:val="nil"/>
              <w:left w:val="nil"/>
              <w:bottom w:val="nil"/>
              <w:right w:val="single" w:sz="12" w:space="0" w:color="38B17E"/>
            </w:tcBorders>
            <w:tcMar>
              <w:top w:w="0" w:type="dxa"/>
              <w:left w:w="108" w:type="dxa"/>
              <w:bottom w:w="0" w:type="dxa"/>
              <w:right w:w="108" w:type="dxa"/>
            </w:tcMar>
          </w:tcPr>
          <w:p w14:paraId="105F22C6" w14:textId="77777777" w:rsidR="00C56902" w:rsidRPr="00C56902" w:rsidRDefault="00C56902" w:rsidP="00C56902">
            <w:pPr>
              <w:spacing w:after="0" w:line="240" w:lineRule="auto"/>
              <w:rPr>
                <w:rFonts w:ascii="Calibri" w:eastAsia="Times New Roman" w:hAnsi="Calibri" w:cs="Times New Roman"/>
                <w:noProof/>
                <w:lang w:eastAsia="en-NZ"/>
              </w:rPr>
            </w:pPr>
            <w:r w:rsidRPr="00C56902">
              <w:rPr>
                <w:rFonts w:ascii="Calibri" w:eastAsia="Times New Roman" w:hAnsi="Calibri" w:cs="Times New Roman"/>
                <w:noProof/>
                <w:lang w:eastAsia="en-NZ"/>
              </w:rPr>
              <w:lastRenderedPageBreak/>
              <w:drawing>
                <wp:inline distT="0" distB="0" distL="0" distR="0" wp14:anchorId="71E03AF8" wp14:editId="42432C09">
                  <wp:extent cx="1924050" cy="1123950"/>
                  <wp:effectExtent l="0" t="0" r="0" b="0"/>
                  <wp:docPr id="1" name="Picture 7" descr="cid:image001.png@01D48E3E.7C07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48E3E.7C07A7A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123950"/>
                          </a:xfrm>
                          <a:prstGeom prst="rect">
                            <a:avLst/>
                          </a:prstGeom>
                          <a:noFill/>
                          <a:ln>
                            <a:noFill/>
                          </a:ln>
                        </pic:spPr>
                      </pic:pic>
                    </a:graphicData>
                  </a:graphic>
                </wp:inline>
              </w:drawing>
            </w:r>
          </w:p>
          <w:p w14:paraId="2CC5CDCA" w14:textId="77777777" w:rsidR="00C56902" w:rsidRPr="00C56902" w:rsidRDefault="00C56902" w:rsidP="00C56902">
            <w:pPr>
              <w:spacing w:after="0" w:line="240" w:lineRule="auto"/>
              <w:rPr>
                <w:rFonts w:ascii="Calibri" w:eastAsia="Times New Roman" w:hAnsi="Calibri" w:cs="Times New Roman"/>
                <w:noProof/>
                <w:lang w:eastAsia="en-NZ"/>
              </w:rPr>
            </w:pPr>
          </w:p>
        </w:tc>
        <w:tc>
          <w:tcPr>
            <w:tcW w:w="6411" w:type="dxa"/>
            <w:tcMar>
              <w:top w:w="0" w:type="dxa"/>
              <w:left w:w="108" w:type="dxa"/>
              <w:bottom w:w="0" w:type="dxa"/>
              <w:right w:w="108" w:type="dxa"/>
            </w:tcMar>
          </w:tcPr>
          <w:p w14:paraId="3B747947" w14:textId="77777777" w:rsidR="00C56902" w:rsidRPr="00C56902" w:rsidRDefault="00C56902" w:rsidP="00C56902">
            <w:pPr>
              <w:spacing w:after="0" w:line="240" w:lineRule="auto"/>
              <w:rPr>
                <w:rFonts w:ascii="Calibri" w:eastAsia="Times New Roman" w:hAnsi="Calibri" w:cs="Times New Roman"/>
                <w:b/>
                <w:bCs/>
                <w:noProof/>
                <w:lang w:eastAsia="en-NZ"/>
              </w:rPr>
            </w:pPr>
            <w:r w:rsidRPr="00C56902">
              <w:rPr>
                <w:rFonts w:ascii="Calibri" w:eastAsia="Times New Roman" w:hAnsi="Calibri" w:cs="Times New Roman"/>
                <w:b/>
                <w:bCs/>
                <w:noProof/>
                <w:lang w:eastAsia="en-NZ"/>
              </w:rPr>
              <w:t>Kevin Rolfe</w:t>
            </w:r>
          </w:p>
          <w:p w14:paraId="7E5D69C9" w14:textId="77777777" w:rsidR="00C56902" w:rsidRPr="00C56902" w:rsidRDefault="00C56902" w:rsidP="00C56902">
            <w:pPr>
              <w:spacing w:after="0" w:line="240" w:lineRule="auto"/>
              <w:rPr>
                <w:rFonts w:ascii="Calibri" w:eastAsia="Times New Roman" w:hAnsi="Calibri" w:cs="Times New Roman"/>
                <w:b/>
                <w:bCs/>
                <w:noProof/>
                <w:lang w:eastAsia="en-NZ"/>
              </w:rPr>
            </w:pPr>
            <w:r w:rsidRPr="00C56902">
              <w:rPr>
                <w:rFonts w:ascii="Calibri" w:eastAsia="Times New Roman" w:hAnsi="Calibri" w:cs="Times New Roman"/>
                <w:b/>
                <w:bCs/>
                <w:noProof/>
                <w:lang w:eastAsia="en-NZ"/>
              </w:rPr>
              <w:t>Director</w:t>
            </w:r>
          </w:p>
          <w:p w14:paraId="60B051C8" w14:textId="77777777" w:rsidR="00C56902" w:rsidRPr="00C56902" w:rsidRDefault="00C56902" w:rsidP="00C56902">
            <w:pPr>
              <w:spacing w:after="0" w:line="240" w:lineRule="auto"/>
              <w:rPr>
                <w:rFonts w:ascii="Calibri" w:eastAsia="Times New Roman" w:hAnsi="Calibri" w:cs="Times New Roman"/>
                <w:noProof/>
                <w:lang w:eastAsia="en-NZ"/>
              </w:rPr>
            </w:pPr>
            <w:r w:rsidRPr="00C56902">
              <w:rPr>
                <w:rFonts w:ascii="Calibri" w:eastAsia="Times New Roman" w:hAnsi="Calibri" w:cs="Times New Roman"/>
                <w:noProof/>
                <w:lang w:eastAsia="en-NZ"/>
              </w:rPr>
              <w:t>Member of the Oxford Round Table</w:t>
            </w:r>
          </w:p>
          <w:p w14:paraId="673E58F8" w14:textId="77777777" w:rsidR="00C56902" w:rsidRPr="00C56902" w:rsidRDefault="00C56902" w:rsidP="00C56902">
            <w:pPr>
              <w:spacing w:after="0" w:line="240" w:lineRule="auto"/>
              <w:rPr>
                <w:rFonts w:ascii="Calibri" w:eastAsia="Times New Roman" w:hAnsi="Calibri" w:cs="Times New Roman"/>
                <w:noProof/>
                <w:lang w:eastAsia="en-NZ"/>
              </w:rPr>
            </w:pPr>
            <w:r w:rsidRPr="00C56902">
              <w:rPr>
                <w:rFonts w:ascii="Calibri" w:eastAsia="Times New Roman" w:hAnsi="Calibri" w:cs="Times New Roman"/>
                <w:noProof/>
                <w:lang w:eastAsia="en-NZ"/>
              </w:rPr>
              <w:t>Justice of the Peace (ministerial) - Accredited</w:t>
            </w:r>
          </w:p>
          <w:p w14:paraId="5DE810D6" w14:textId="77777777" w:rsidR="00C56902" w:rsidRPr="00C56902" w:rsidRDefault="00C56902" w:rsidP="00C56902">
            <w:pPr>
              <w:spacing w:after="0" w:line="240" w:lineRule="auto"/>
              <w:rPr>
                <w:rFonts w:ascii="Calibri" w:eastAsia="Times New Roman" w:hAnsi="Calibri" w:cs="Times New Roman"/>
                <w:noProof/>
                <w:lang w:eastAsia="en-NZ"/>
              </w:rPr>
            </w:pPr>
            <w:r w:rsidRPr="00C56902">
              <w:rPr>
                <w:rFonts w:ascii="Calibri" w:eastAsia="Times New Roman" w:hAnsi="Calibri" w:cs="Times New Roman"/>
                <w:noProof/>
                <w:lang w:eastAsia="en-NZ"/>
              </w:rPr>
              <w:t xml:space="preserve">Chemical Engineer and Environmental Management Specialist </w:t>
            </w:r>
          </w:p>
          <w:p w14:paraId="2ADACD6A" w14:textId="77777777" w:rsidR="00C56902" w:rsidRPr="00C56902" w:rsidRDefault="00C56902" w:rsidP="00C56902">
            <w:pPr>
              <w:spacing w:after="0" w:line="240" w:lineRule="auto"/>
              <w:rPr>
                <w:rFonts w:ascii="Calibri" w:eastAsia="Times New Roman" w:hAnsi="Calibri" w:cs="Times New Roman"/>
                <w:noProof/>
                <w:lang w:eastAsia="en-NZ"/>
              </w:rPr>
            </w:pPr>
            <w:r w:rsidRPr="00C56902">
              <w:rPr>
                <w:rFonts w:ascii="Calibri" w:eastAsia="Times New Roman" w:hAnsi="Calibri" w:cs="Times New Roman"/>
                <w:noProof/>
                <w:lang w:eastAsia="en-NZ"/>
              </w:rPr>
              <w:t>Independent Resource Management Act Hearings Commissioner (with Chair Endorsement)</w:t>
            </w:r>
          </w:p>
          <w:p w14:paraId="27073606" w14:textId="77777777" w:rsidR="00C56902" w:rsidRPr="00C56902" w:rsidRDefault="00C56902" w:rsidP="00C56902">
            <w:pPr>
              <w:spacing w:after="0" w:line="240" w:lineRule="auto"/>
              <w:rPr>
                <w:rFonts w:ascii="Calibri" w:eastAsia="Times New Roman" w:hAnsi="Calibri" w:cs="Times New Roman"/>
                <w:noProof/>
                <w:lang w:eastAsia="en-NZ"/>
              </w:rPr>
            </w:pPr>
          </w:p>
          <w:tbl>
            <w:tblPr>
              <w:tblW w:w="6195" w:type="dxa"/>
              <w:tblCellMar>
                <w:left w:w="0" w:type="dxa"/>
                <w:right w:w="0" w:type="dxa"/>
              </w:tblCellMar>
              <w:tblLook w:val="04A0" w:firstRow="1" w:lastRow="0" w:firstColumn="1" w:lastColumn="0" w:noHBand="0" w:noVBand="1"/>
            </w:tblPr>
            <w:tblGrid>
              <w:gridCol w:w="517"/>
              <w:gridCol w:w="2135"/>
              <w:gridCol w:w="540"/>
              <w:gridCol w:w="3003"/>
            </w:tblGrid>
            <w:tr w:rsidR="00C56902" w:rsidRPr="00C56902" w14:paraId="314C0E8F" w14:textId="77777777">
              <w:trPr>
                <w:trHeight w:val="332"/>
              </w:trPr>
              <w:tc>
                <w:tcPr>
                  <w:tcW w:w="516" w:type="dxa"/>
                  <w:tcMar>
                    <w:top w:w="0" w:type="dxa"/>
                    <w:left w:w="108" w:type="dxa"/>
                    <w:bottom w:w="0" w:type="dxa"/>
                    <w:right w:w="108" w:type="dxa"/>
                  </w:tcMar>
                  <w:hideMark/>
                </w:tcPr>
                <w:p w14:paraId="5AB047D7" w14:textId="77777777" w:rsidR="00C56902" w:rsidRPr="00C56902" w:rsidRDefault="00C56902" w:rsidP="00C56902">
                  <w:pPr>
                    <w:spacing w:after="0" w:line="240" w:lineRule="auto"/>
                    <w:rPr>
                      <w:rFonts w:ascii="Calibri" w:eastAsia="Times New Roman" w:hAnsi="Calibri" w:cs="Times New Roman"/>
                      <w:noProof/>
                      <w:lang w:eastAsia="en-NZ"/>
                    </w:rPr>
                  </w:pPr>
                  <w:r w:rsidRPr="00C56902">
                    <w:rPr>
                      <w:rFonts w:ascii="Calibri" w:eastAsia="Times New Roman" w:hAnsi="Calibri" w:cs="Times New Roman"/>
                      <w:noProof/>
                      <w:lang w:eastAsia="en-NZ"/>
                    </w:rPr>
                    <w:drawing>
                      <wp:inline distT="0" distB="0" distL="0" distR="0" wp14:anchorId="25FD3D7F" wp14:editId="7F2CFE02">
                        <wp:extent cx="171450" cy="171450"/>
                        <wp:effectExtent l="0" t="0" r="0" b="0"/>
                        <wp:docPr id="2" name="Picture 8" descr="cid:image002.png@01D48E3E.7C07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D48E3E.7C07A7A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2135" w:type="dxa"/>
                  <w:tcMar>
                    <w:top w:w="0" w:type="dxa"/>
                    <w:left w:w="108" w:type="dxa"/>
                    <w:bottom w:w="0" w:type="dxa"/>
                    <w:right w:w="108" w:type="dxa"/>
                  </w:tcMar>
                  <w:hideMark/>
                </w:tcPr>
                <w:p w14:paraId="37C0DDC5" w14:textId="77777777" w:rsidR="00C56902" w:rsidRPr="00C56902" w:rsidRDefault="00C56902" w:rsidP="00C56902">
                  <w:pPr>
                    <w:spacing w:after="0" w:line="240" w:lineRule="auto"/>
                    <w:rPr>
                      <w:rFonts w:ascii="Calibri" w:eastAsia="Times New Roman" w:hAnsi="Calibri" w:cs="Times New Roman"/>
                      <w:noProof/>
                      <w:lang w:eastAsia="en-NZ"/>
                    </w:rPr>
                  </w:pPr>
                  <w:r w:rsidRPr="00C56902">
                    <w:rPr>
                      <w:rFonts w:ascii="Calibri" w:eastAsia="Times New Roman" w:hAnsi="Calibri" w:cs="Times New Roman"/>
                      <w:noProof/>
                      <w:lang w:eastAsia="en-NZ"/>
                    </w:rPr>
                    <w:t>+64 21 687276</w:t>
                  </w:r>
                </w:p>
              </w:tc>
              <w:tc>
                <w:tcPr>
                  <w:tcW w:w="540" w:type="dxa"/>
                  <w:tcMar>
                    <w:top w:w="0" w:type="dxa"/>
                    <w:left w:w="108" w:type="dxa"/>
                    <w:bottom w:w="0" w:type="dxa"/>
                    <w:right w:w="108" w:type="dxa"/>
                  </w:tcMar>
                  <w:hideMark/>
                </w:tcPr>
                <w:p w14:paraId="7D08A029" w14:textId="77777777" w:rsidR="00C56902" w:rsidRPr="00C56902" w:rsidRDefault="00C56902" w:rsidP="00C56902">
                  <w:pPr>
                    <w:spacing w:after="0" w:line="240" w:lineRule="auto"/>
                    <w:rPr>
                      <w:rFonts w:ascii="Calibri" w:eastAsia="Times New Roman" w:hAnsi="Calibri" w:cs="Times New Roman"/>
                      <w:noProof/>
                      <w:lang w:eastAsia="en-NZ"/>
                    </w:rPr>
                  </w:pPr>
                  <w:r w:rsidRPr="00C56902">
                    <w:rPr>
                      <w:rFonts w:ascii="Calibri" w:eastAsia="Times New Roman" w:hAnsi="Calibri" w:cs="Times New Roman"/>
                      <w:noProof/>
                      <w:lang w:eastAsia="en-NZ"/>
                    </w:rPr>
                    <w:drawing>
                      <wp:inline distT="0" distB="0" distL="0" distR="0" wp14:anchorId="7C19A0DD" wp14:editId="7E3D2E26">
                        <wp:extent cx="190500" cy="190500"/>
                        <wp:effectExtent l="0" t="0" r="0" b="0"/>
                        <wp:docPr id="3" name="Picture 9" descr="cid:image003.png@01D48E3E.7C07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3.png@01D48E3E.7C07A7A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003" w:type="dxa"/>
                  <w:tcMar>
                    <w:top w:w="0" w:type="dxa"/>
                    <w:left w:w="108" w:type="dxa"/>
                    <w:bottom w:w="0" w:type="dxa"/>
                    <w:right w:w="108" w:type="dxa"/>
                  </w:tcMar>
                  <w:hideMark/>
                </w:tcPr>
                <w:p w14:paraId="4EF53DAE" w14:textId="77777777" w:rsidR="00C56902" w:rsidRPr="00C56902" w:rsidRDefault="00C56902" w:rsidP="00C56902">
                  <w:pPr>
                    <w:spacing w:after="0" w:line="240" w:lineRule="auto"/>
                    <w:rPr>
                      <w:rFonts w:ascii="Calibri" w:eastAsia="Times New Roman" w:hAnsi="Calibri" w:cs="Times New Roman"/>
                      <w:noProof/>
                      <w:lang w:eastAsia="en-NZ"/>
                    </w:rPr>
                  </w:pPr>
                  <w:hyperlink r:id="rId8" w:history="1">
                    <w:r w:rsidRPr="00C56902">
                      <w:rPr>
                        <w:rFonts w:ascii="Calibri" w:eastAsia="Times New Roman" w:hAnsi="Calibri" w:cs="Times New Roman"/>
                        <w:noProof/>
                        <w:color w:val="0563C1"/>
                        <w:u w:val="single"/>
                        <w:lang w:eastAsia="en-NZ"/>
                      </w:rPr>
                      <w:t>krolfe@xtra.co.nz</w:t>
                    </w:r>
                  </w:hyperlink>
                </w:p>
              </w:tc>
            </w:tr>
            <w:tr w:rsidR="00C56902" w:rsidRPr="00C56902" w14:paraId="62E1C865" w14:textId="77777777">
              <w:trPr>
                <w:trHeight w:val="386"/>
              </w:trPr>
              <w:tc>
                <w:tcPr>
                  <w:tcW w:w="516" w:type="dxa"/>
                  <w:tcMar>
                    <w:top w:w="0" w:type="dxa"/>
                    <w:left w:w="108" w:type="dxa"/>
                    <w:bottom w:w="0" w:type="dxa"/>
                    <w:right w:w="108" w:type="dxa"/>
                  </w:tcMar>
                  <w:hideMark/>
                </w:tcPr>
                <w:p w14:paraId="4DD74F54" w14:textId="77777777" w:rsidR="00C56902" w:rsidRPr="00C56902" w:rsidRDefault="00C56902" w:rsidP="00C56902">
                  <w:pPr>
                    <w:spacing w:after="0" w:line="240" w:lineRule="auto"/>
                    <w:rPr>
                      <w:rFonts w:ascii="Calibri" w:eastAsia="Times New Roman" w:hAnsi="Calibri" w:cs="Times New Roman"/>
                      <w:noProof/>
                      <w:lang w:eastAsia="en-NZ"/>
                    </w:rPr>
                  </w:pPr>
                  <w:r w:rsidRPr="00C56902">
                    <w:rPr>
                      <w:rFonts w:ascii="Calibri" w:eastAsia="Times New Roman" w:hAnsi="Calibri" w:cs="Times New Roman"/>
                      <w:noProof/>
                      <w:lang w:eastAsia="en-NZ"/>
                    </w:rPr>
                    <w:drawing>
                      <wp:inline distT="0" distB="0" distL="0" distR="0" wp14:anchorId="0C206F5A" wp14:editId="535C99CC">
                        <wp:extent cx="180975" cy="180975"/>
                        <wp:effectExtent l="0" t="0" r="9525" b="9525"/>
                        <wp:docPr id="4" name="Picture 10" descr="cid:image004.png@01D48E3E.7C07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4.png@01D48E3E.7C07A7A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135" w:type="dxa"/>
                  <w:tcMar>
                    <w:top w:w="0" w:type="dxa"/>
                    <w:left w:w="108" w:type="dxa"/>
                    <w:bottom w:w="0" w:type="dxa"/>
                    <w:right w:w="108" w:type="dxa"/>
                  </w:tcMar>
                  <w:hideMark/>
                </w:tcPr>
                <w:p w14:paraId="580B1903" w14:textId="77777777" w:rsidR="00C56902" w:rsidRPr="00C56902" w:rsidRDefault="00C56902" w:rsidP="00C56902">
                  <w:pPr>
                    <w:spacing w:after="0" w:line="240" w:lineRule="auto"/>
                    <w:rPr>
                      <w:rFonts w:ascii="Calibri" w:eastAsia="Times New Roman" w:hAnsi="Calibri" w:cs="Times New Roman"/>
                      <w:noProof/>
                      <w:lang w:eastAsia="en-NZ"/>
                    </w:rPr>
                  </w:pPr>
                  <w:hyperlink r:id="rId10" w:history="1">
                    <w:r w:rsidRPr="00C56902">
                      <w:rPr>
                        <w:rFonts w:ascii="Calibri" w:eastAsia="Times New Roman" w:hAnsi="Calibri" w:cs="Times New Roman"/>
                        <w:noProof/>
                        <w:color w:val="0563C1"/>
                        <w:u w:val="single"/>
                        <w:lang w:eastAsia="en-NZ"/>
                      </w:rPr>
                      <w:t>kevin.rolfe28</w:t>
                    </w:r>
                  </w:hyperlink>
                </w:p>
              </w:tc>
              <w:tc>
                <w:tcPr>
                  <w:tcW w:w="540" w:type="dxa"/>
                  <w:tcMar>
                    <w:top w:w="0" w:type="dxa"/>
                    <w:left w:w="108" w:type="dxa"/>
                    <w:bottom w:w="0" w:type="dxa"/>
                    <w:right w:w="108" w:type="dxa"/>
                  </w:tcMar>
                  <w:hideMark/>
                </w:tcPr>
                <w:p w14:paraId="3CCB7D94" w14:textId="77777777" w:rsidR="00C56902" w:rsidRPr="00C56902" w:rsidRDefault="00C56902" w:rsidP="00C56902">
                  <w:pPr>
                    <w:spacing w:after="0" w:line="240" w:lineRule="auto"/>
                    <w:rPr>
                      <w:rFonts w:ascii="Calibri" w:eastAsia="Times New Roman" w:hAnsi="Calibri" w:cs="Times New Roman"/>
                      <w:noProof/>
                      <w:lang w:eastAsia="en-NZ"/>
                    </w:rPr>
                  </w:pPr>
                  <w:r w:rsidRPr="00C56902">
                    <w:rPr>
                      <w:rFonts w:ascii="Calibri" w:eastAsia="Times New Roman" w:hAnsi="Calibri" w:cs="Times New Roman"/>
                      <w:noProof/>
                      <w:lang w:eastAsia="en-NZ"/>
                    </w:rPr>
                    <w:drawing>
                      <wp:inline distT="0" distB="0" distL="0" distR="0" wp14:anchorId="2285199A" wp14:editId="6733F166">
                        <wp:extent cx="190500" cy="190500"/>
                        <wp:effectExtent l="0" t="0" r="0" b="0"/>
                        <wp:docPr id="5" name="Picture 11" descr="cid:image005.png@01D48E3E.7C07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5.png@01D48E3E.7C07A7A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003" w:type="dxa"/>
                  <w:tcMar>
                    <w:top w:w="0" w:type="dxa"/>
                    <w:left w:w="108" w:type="dxa"/>
                    <w:bottom w:w="0" w:type="dxa"/>
                    <w:right w:w="108" w:type="dxa"/>
                  </w:tcMar>
                  <w:hideMark/>
                </w:tcPr>
                <w:p w14:paraId="659D6969" w14:textId="77777777" w:rsidR="00C56902" w:rsidRPr="00C56902" w:rsidRDefault="00C56902" w:rsidP="00C56902">
                  <w:pPr>
                    <w:spacing w:after="0" w:line="240" w:lineRule="auto"/>
                    <w:rPr>
                      <w:rFonts w:ascii="Calibri" w:eastAsia="Times New Roman" w:hAnsi="Calibri" w:cs="Times New Roman"/>
                      <w:noProof/>
                      <w:lang w:eastAsia="en-NZ"/>
                    </w:rPr>
                  </w:pPr>
                  <w:hyperlink r:id="rId12" w:history="1">
                    <w:r w:rsidRPr="00C56902">
                      <w:rPr>
                        <w:rFonts w:ascii="Calibri" w:eastAsia="Times New Roman" w:hAnsi="Calibri" w:cs="Times New Roman"/>
                        <w:noProof/>
                        <w:color w:val="0563C1"/>
                        <w:u w:val="single"/>
                        <w:lang w:eastAsia="en-NZ"/>
                      </w:rPr>
                      <w:t>kevinrolfeconsultingltd.co.nz</w:t>
                    </w:r>
                  </w:hyperlink>
                </w:p>
              </w:tc>
            </w:tr>
            <w:tr w:rsidR="00C56902" w:rsidRPr="00C56902" w14:paraId="606FE88E" w14:textId="77777777">
              <w:trPr>
                <w:trHeight w:val="386"/>
              </w:trPr>
              <w:tc>
                <w:tcPr>
                  <w:tcW w:w="516" w:type="dxa"/>
                  <w:tcMar>
                    <w:top w:w="0" w:type="dxa"/>
                    <w:left w:w="108" w:type="dxa"/>
                    <w:bottom w:w="0" w:type="dxa"/>
                    <w:right w:w="108" w:type="dxa"/>
                  </w:tcMar>
                  <w:hideMark/>
                </w:tcPr>
                <w:p w14:paraId="0AD1B013" w14:textId="77777777" w:rsidR="00C56902" w:rsidRPr="00C56902" w:rsidRDefault="00C56902" w:rsidP="00C56902">
                  <w:pPr>
                    <w:spacing w:after="0" w:line="240" w:lineRule="auto"/>
                    <w:rPr>
                      <w:rFonts w:ascii="Calibri" w:eastAsia="Times New Roman" w:hAnsi="Calibri" w:cs="Times New Roman"/>
                      <w:noProof/>
                      <w:lang w:eastAsia="en-NZ"/>
                    </w:rPr>
                  </w:pPr>
                  <w:r w:rsidRPr="00C56902">
                    <w:rPr>
                      <w:rFonts w:ascii="Calibri" w:eastAsia="Times New Roman" w:hAnsi="Calibri" w:cs="Times New Roman"/>
                      <w:noProof/>
                      <w:lang w:eastAsia="en-NZ"/>
                    </w:rPr>
                    <w:drawing>
                      <wp:inline distT="0" distB="0" distL="0" distR="0" wp14:anchorId="4EC0C8B2" wp14:editId="54E02B0E">
                        <wp:extent cx="190500" cy="190500"/>
                        <wp:effectExtent l="0" t="0" r="0" b="0"/>
                        <wp:docPr id="6" name="Picture 12" descr="cid:image006.png@01D48E3E.7C07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6.png@01D48E3E.7C07A7A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135" w:type="dxa"/>
                  <w:tcMar>
                    <w:top w:w="0" w:type="dxa"/>
                    <w:left w:w="108" w:type="dxa"/>
                    <w:bottom w:w="0" w:type="dxa"/>
                    <w:right w:w="108" w:type="dxa"/>
                  </w:tcMar>
                  <w:hideMark/>
                </w:tcPr>
                <w:p w14:paraId="295C732A" w14:textId="77777777" w:rsidR="00C56902" w:rsidRPr="00C56902" w:rsidRDefault="00C56902" w:rsidP="00C56902">
                  <w:pPr>
                    <w:spacing w:after="0" w:line="240" w:lineRule="auto"/>
                    <w:rPr>
                      <w:rFonts w:ascii="Calibri" w:eastAsia="Times New Roman" w:hAnsi="Calibri" w:cs="Times New Roman"/>
                      <w:noProof/>
                      <w:lang w:eastAsia="en-NZ"/>
                    </w:rPr>
                  </w:pPr>
                  <w:hyperlink r:id="rId14" w:history="1">
                    <w:r w:rsidRPr="00C56902">
                      <w:rPr>
                        <w:rFonts w:ascii="Calibri" w:eastAsia="Times New Roman" w:hAnsi="Calibri" w:cs="Times New Roman"/>
                        <w:noProof/>
                        <w:color w:val="0563C1"/>
                        <w:u w:val="single"/>
                        <w:lang w:eastAsia="en-NZ"/>
                      </w:rPr>
                      <w:t>Connect on LinkedIn</w:t>
                    </w:r>
                  </w:hyperlink>
                </w:p>
              </w:tc>
              <w:tc>
                <w:tcPr>
                  <w:tcW w:w="540" w:type="dxa"/>
                  <w:tcMar>
                    <w:top w:w="0" w:type="dxa"/>
                    <w:left w:w="108" w:type="dxa"/>
                    <w:bottom w:w="0" w:type="dxa"/>
                    <w:right w:w="108" w:type="dxa"/>
                  </w:tcMar>
                  <w:hideMark/>
                </w:tcPr>
                <w:p w14:paraId="5ABAD6D1" w14:textId="77777777" w:rsidR="00C56902" w:rsidRPr="00C56902" w:rsidRDefault="00C56902" w:rsidP="00C56902">
                  <w:pPr>
                    <w:spacing w:after="0" w:line="240" w:lineRule="auto"/>
                    <w:rPr>
                      <w:rFonts w:ascii="Calibri" w:eastAsia="Times New Roman" w:hAnsi="Calibri" w:cs="Times New Roman"/>
                      <w:noProof/>
                      <w:lang w:eastAsia="en-NZ"/>
                    </w:rPr>
                  </w:pPr>
                </w:p>
              </w:tc>
              <w:tc>
                <w:tcPr>
                  <w:tcW w:w="3003" w:type="dxa"/>
                  <w:tcMar>
                    <w:top w:w="0" w:type="dxa"/>
                    <w:left w:w="108" w:type="dxa"/>
                    <w:bottom w:w="0" w:type="dxa"/>
                    <w:right w:w="108" w:type="dxa"/>
                  </w:tcMar>
                  <w:hideMark/>
                </w:tcPr>
                <w:p w14:paraId="4CCFF17B" w14:textId="77777777" w:rsidR="00C56902" w:rsidRPr="00C56902" w:rsidRDefault="00C56902" w:rsidP="00C56902">
                  <w:pPr>
                    <w:spacing w:after="0" w:line="240" w:lineRule="auto"/>
                    <w:rPr>
                      <w:rFonts w:ascii="Times New Roman" w:eastAsia="Times New Roman" w:hAnsi="Times New Roman" w:cs="Times New Roman"/>
                      <w:sz w:val="20"/>
                      <w:szCs w:val="20"/>
                      <w:lang w:eastAsia="en-NZ"/>
                    </w:rPr>
                  </w:pPr>
                </w:p>
              </w:tc>
            </w:tr>
          </w:tbl>
          <w:p w14:paraId="40396681" w14:textId="77777777" w:rsidR="00C56902" w:rsidRPr="00C56902" w:rsidRDefault="00C56902" w:rsidP="00C56902">
            <w:pPr>
              <w:spacing w:after="0" w:line="240" w:lineRule="auto"/>
              <w:rPr>
                <w:rFonts w:ascii="Calibri" w:eastAsia="Times New Roman" w:hAnsi="Calibri" w:cs="Times New Roman"/>
                <w:noProof/>
                <w:lang w:eastAsia="en-NZ"/>
              </w:rPr>
            </w:pPr>
          </w:p>
        </w:tc>
      </w:tr>
      <w:bookmarkEnd w:id="0"/>
    </w:tbl>
    <w:p w14:paraId="2256AAB9" w14:textId="77777777" w:rsidR="00C56902" w:rsidRPr="00C56902" w:rsidRDefault="00C56902" w:rsidP="00C56902">
      <w:pPr>
        <w:spacing w:after="0" w:line="240" w:lineRule="auto"/>
        <w:rPr>
          <w:rFonts w:ascii="Calibri" w:eastAsia="Times New Roman" w:hAnsi="Calibri" w:cs="Times New Roman"/>
          <w:noProof/>
          <w:lang w:eastAsia="en-NZ"/>
        </w:rPr>
      </w:pPr>
    </w:p>
    <w:p w14:paraId="419A80BE" w14:textId="77777777" w:rsidR="00C56902" w:rsidRPr="00C56902" w:rsidRDefault="00C56902">
      <w:pPr>
        <w:rPr>
          <w:lang w:val="en-US"/>
        </w:rPr>
      </w:pPr>
    </w:p>
    <w:sectPr w:rsidR="00C56902" w:rsidRPr="00C56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449"/>
    <w:multiLevelType w:val="hybridMultilevel"/>
    <w:tmpl w:val="8A9E68B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21A44A3"/>
    <w:multiLevelType w:val="hybridMultilevel"/>
    <w:tmpl w:val="BC36F26E"/>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F224200"/>
    <w:multiLevelType w:val="hybridMultilevel"/>
    <w:tmpl w:val="754EC86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FE4069B"/>
    <w:multiLevelType w:val="hybridMultilevel"/>
    <w:tmpl w:val="0FA2FC4E"/>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6F8E61A1"/>
    <w:multiLevelType w:val="hybridMultilevel"/>
    <w:tmpl w:val="2F0654F8"/>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71EF2868"/>
    <w:multiLevelType w:val="hybridMultilevel"/>
    <w:tmpl w:val="CF8A747E"/>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02"/>
    <w:rsid w:val="00C569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4897"/>
  <w15:chartTrackingRefBased/>
  <w15:docId w15:val="{D3BFC454-CE26-4538-AC12-CD1EF529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krolfe@xtra.co.nz" TargetMode="External" Id="rId8" /><Relationship Type="http://schemas.openxmlformats.org/officeDocument/2006/relationships/image" Target="media/image6.png"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hyperlink" Target="http://kevinrolfeconsultingltd.co.nz/"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5.png" Id="rId11" /><Relationship Type="http://schemas.openxmlformats.org/officeDocument/2006/relationships/image" Target="media/image1.png" Id="rId5" /><Relationship Type="http://schemas.openxmlformats.org/officeDocument/2006/relationships/fontTable" Target="fontTable.xml" Id="rId15" /><Relationship Type="http://schemas.openxmlformats.org/officeDocument/2006/relationships/hyperlink" Target="skype:kevin.rolfe28?call"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image" Target="media/image4.png" Id="rId9" /><Relationship Type="http://schemas.openxmlformats.org/officeDocument/2006/relationships/hyperlink" Target="https://nz.linkedin.com/in/kevin-rolfe-2a615366" TargetMode="External" Id="rId14" /><Relationship Type="http://schemas.openxmlformats.org/officeDocument/2006/relationships/customXml" Target="/customXML/item4.xml" Id="R31558ee53da343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BFB6F7442CDB4D47AAEFFE50118F3370" version="1.0.0">
  <systemFields>
    <field name="Objective-Id">
      <value order="0">A3646085</value>
    </field>
    <field name="Objective-Title">
      <value order="0">Kevin Rolfe review of Further information June 2020</value>
    </field>
    <field name="Objective-Description">
      <value order="0"/>
    </field>
    <field name="Objective-CreationStamp">
      <value order="0">2020-10-08T02:49:15Z</value>
    </field>
    <field name="Objective-IsApproved">
      <value order="0">false</value>
    </field>
    <field name="Objective-IsPublished">
      <value order="0">true</value>
    </field>
    <field name="Objective-DatePublished">
      <value order="0">2020-10-15T19:56:54Z</value>
    </field>
    <field name="Objective-ModificationStamp">
      <value order="0">2022-08-25T02:01:05Z</value>
    </field>
    <field name="Objective-Owner">
      <value order="0">David Greaves</value>
    </field>
    <field name="Objective-Path">
      <value order="0">EasyInfo Global Folder:'Virtual Filing Cabinet':Natural Resource Management:Resource Consents and Permits:2019 Applications:RM19-0663:Application Process:..Technical Review (internal staff) - including some internal correspondence:.General background:.Kevin Rolfe</value>
    </field>
    <field name="Objective-Parent">
      <value order="0">.Kevin Rolfe</value>
    </field>
    <field name="Objective-State">
      <value order="0">Published</value>
    </field>
    <field name="Objective-VersionId">
      <value order="0">vA5512154</value>
    </field>
    <field name="Objective-Version">
      <value order="0">1.0</value>
    </field>
    <field name="Objective-VersionNumber">
      <value order="0">1</value>
    </field>
    <field name="Objective-VersionComment">
      <value order="0">First version</value>
    </field>
    <field name="Objective-FileNumber">
      <value order="0">qA144846</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816AFE91C764694D29F5196BB0DC9" ma:contentTypeVersion="12" ma:contentTypeDescription="Create a new document." ma:contentTypeScope="" ma:versionID="48b127ccfe5dc1887cb94d7818a60eae">
  <xsd:schema xmlns:xsd="http://www.w3.org/2001/XMLSchema" xmlns:xs="http://www.w3.org/2001/XMLSchema" xmlns:p="http://schemas.microsoft.com/office/2006/metadata/properties" xmlns:ns2="942240e9-c83f-43fd-b167-b6a3f6f47f72" xmlns:ns3="b8f3ad2d-bda7-4d0a-bb3d-ae82de9a7cbe" targetNamespace="http://schemas.microsoft.com/office/2006/metadata/properties" ma:root="true" ma:fieldsID="6f1e5f2f719937b3518384a4e96792c4" ns2:_="" ns3:_="">
    <xsd:import namespace="942240e9-c83f-43fd-b167-b6a3f6f47f72"/>
    <xsd:import namespace="b8f3ad2d-bda7-4d0a-bb3d-ae82de9a7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240e9-c83f-43fd-b167-b6a3f6f47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3ad2d-bda7-4d0a-bb3d-ae82de9a7c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AED1B-6047-4A66-A5EC-E65B77A7F300}"/>
</file>

<file path=customXml/itemProps2.xml><?xml version="1.0" encoding="utf-8"?>
<ds:datastoreItem xmlns:ds="http://schemas.openxmlformats.org/officeDocument/2006/customXml" ds:itemID="{09BFDB24-B90C-4F14-AAB2-6D52C02B2F84}"/>
</file>

<file path=customXml/itemProps3.xml><?xml version="1.0" encoding="utf-8"?>
<ds:datastoreItem xmlns:ds="http://schemas.openxmlformats.org/officeDocument/2006/customXml" ds:itemID="{917FA886-B8C9-42E8-8FAF-F53AEEA6BB66}"/>
</file>

<file path=docProps/app.xml><?xml version="1.0" encoding="utf-8"?>
<Properties xmlns="http://schemas.openxmlformats.org/officeDocument/2006/extended-properties" xmlns:vt="http://schemas.openxmlformats.org/officeDocument/2006/docPropsVTypes">
  <Template>Normal</Template>
  <TotalTime>5</TotalTime>
  <Pages>7</Pages>
  <Words>2755</Words>
  <Characters>15704</Characters>
  <Application>Microsoft Office Word</Application>
  <DocSecurity>0</DocSecurity>
  <Lines>130</Lines>
  <Paragraphs>36</Paragraphs>
  <ScaleCrop>false</ScaleCrop>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Rolfe</dc:creator>
  <cp:keywords/>
  <dc:description/>
  <cp:lastModifiedBy>Kevin Rolfe</cp:lastModifiedBy>
  <cp:revision>1</cp:revision>
  <dcterms:created xsi:type="dcterms:W3CDTF">2020-06-14T20:36:00Z</dcterms:created>
  <dcterms:modified xsi:type="dcterms:W3CDTF">2020-06-14T20:41:00Z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0x010100818816AFE91C764694D29F5196BB0DC9</vt:lpwstr>
  </property>
  <property fmtid="{D5CDD505-2E9C-101B-9397-08002B2CF9AE}" pid="3" name="Objective-Id">
    <vt:lpwstr>A3646085</vt:lpwstr>
  </property>
  <property fmtid="{D5CDD505-2E9C-101B-9397-08002B2CF9AE}" pid="4" name="Objective-Title">
    <vt:lpwstr>Kevin Rolfe review of Further information June 2020</vt:lpwstr>
  </property>
  <property fmtid="{D5CDD505-2E9C-101B-9397-08002B2CF9AE}" pid="5" name="Objective-Description">
    <vt:lpwstr/>
  </property>
  <property fmtid="{D5CDD505-2E9C-101B-9397-08002B2CF9AE}" pid="6" name="Objective-CreationStamp">
    <vt:filetime>2020-10-08T02:49:15Z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2020-10-15T19:56:54Z</vt:filetime>
  </property>
  <property fmtid="{D5CDD505-2E9C-101B-9397-08002B2CF9AE}" pid="10" name="Objective-ModificationStamp">
    <vt:filetime>2022-08-25T02:01:05Z</vt:filetime>
  </property>
  <property fmtid="{D5CDD505-2E9C-101B-9397-08002B2CF9AE}" pid="11" name="Objective-Owner">
    <vt:lpwstr>David Greaves</vt:lpwstr>
  </property>
  <property fmtid="{D5CDD505-2E9C-101B-9397-08002B2CF9AE}" pid="12" name="Objective-Path">
    <vt:lpwstr>EasyInfo Global Folder:'Virtual Filing Cabinet':Natural Resource Management:Resource Consents and Permits:2019 Applications:RM19-0663:Application Process:..Technical Review (internal staff) - including some internal correspondence:.General background:.Kevin Rolfe</vt:lpwstr>
  </property>
  <property fmtid="{D5CDD505-2E9C-101B-9397-08002B2CF9AE}" pid="13" name="Objective-Parent">
    <vt:lpwstr>.Kevin Rolfe</vt:lpwstr>
  </property>
  <property fmtid="{D5CDD505-2E9C-101B-9397-08002B2CF9AE}" pid="14" name="Objective-State">
    <vt:lpwstr>Published</vt:lpwstr>
  </property>
  <property fmtid="{D5CDD505-2E9C-101B-9397-08002B2CF9AE}" pid="15" name="Objective-VersionId">
    <vt:lpwstr>vA5512154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qA144846</vt:lpwstr>
  </property>
  <property fmtid="{D5CDD505-2E9C-101B-9397-08002B2CF9AE}" pid="20" name="Objective-Classification">
    <vt:lpwstr>Public Access</vt:lpwstr>
  </property>
  <property fmtid="{D5CDD505-2E9C-101B-9397-08002B2CF9AE}" pid="21" name="Objective-Caveats">
    <vt:lpwstr/>
  </property>
  <property fmtid="{D5CDD505-2E9C-101B-9397-08002B2CF9AE}" pid="22" name="Objective-Operative Date">
    <vt:lpwstr/>
  </property>
  <property fmtid="{D5CDD505-2E9C-101B-9397-08002B2CF9AE}" pid="23" name="Objective-Author">
    <vt:lpwstr/>
  </property>
  <property fmtid="{D5CDD505-2E9C-101B-9397-08002B2CF9AE}" pid="24" name="Objective-On Behalf Of">
    <vt:lpwstr/>
  </property>
  <property fmtid="{D5CDD505-2E9C-101B-9397-08002B2CF9AE}" pid="25" name="Objective-Accela Key">
    <vt:lpwstr/>
  </property>
  <property fmtid="{D5CDD505-2E9C-101B-9397-08002B2CF9AE}" pid="26" name="Objective-Connect Creator">
    <vt:lpwstr/>
  </property>
</Properties>
</file>