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968"/>
        <w:gridCol w:w="2880"/>
      </w:tblGrid>
      <w:tr w:rsidR="00CF7E09" w14:paraId="37731F37" w14:textId="77777777" w:rsidTr="00341F0F">
        <w:trPr>
          <w:trHeight w:val="708"/>
        </w:trPr>
        <w:tc>
          <w:tcPr>
            <w:tcW w:w="2834" w:type="dxa"/>
          </w:tcPr>
          <w:p w14:paraId="49CD83AA" w14:textId="77777777" w:rsidR="00CF7E09" w:rsidRDefault="00CF7E09" w:rsidP="005829E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968" w:type="dxa"/>
          </w:tcPr>
          <w:p w14:paraId="6C40E87F" w14:textId="2339B0AF" w:rsidR="00CF7E09" w:rsidRDefault="003762B0" w:rsidP="005829E3">
            <w:pPr>
              <w:pStyle w:val="EmptyCellLayoutStyle"/>
              <w:spacing w:after="0" w:line="240" w:lineRule="auto"/>
              <w:jc w:val="both"/>
            </w:pPr>
            <w:r>
              <w:rPr>
                <w:noProof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44E1" w14:textId="773BDBFF" w:rsidR="00CF7E09" w:rsidRDefault="003762B0" w:rsidP="005829E3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65BC8F" wp14:editId="6247F89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190128</wp:posOffset>
                  </wp:positionV>
                  <wp:extent cx="1799590" cy="516890"/>
                  <wp:effectExtent l="19050" t="19050" r="10160" b="16510"/>
                  <wp:wrapTight wrapText="bothSides">
                    <wp:wrapPolygon edited="0">
                      <wp:start x="-229" y="-796"/>
                      <wp:lineTo x="-229" y="21494"/>
                      <wp:lineTo x="21493" y="21494"/>
                      <wp:lineTo x="21493" y="-796"/>
                      <wp:lineTo x="-229" y="-796"/>
                    </wp:wrapPolygon>
                  </wp:wrapTight>
                  <wp:docPr id="2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5168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E09" w14:paraId="613FEB99" w14:textId="77777777" w:rsidTr="00341F0F">
        <w:trPr>
          <w:trHeight w:val="566"/>
        </w:trPr>
        <w:tc>
          <w:tcPr>
            <w:tcW w:w="2834" w:type="dxa"/>
          </w:tcPr>
          <w:p w14:paraId="568152A7" w14:textId="77777777" w:rsidR="00CF7E09" w:rsidRDefault="00CF7E09" w:rsidP="005829E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968" w:type="dxa"/>
          </w:tcPr>
          <w:p w14:paraId="3A4CAA0F" w14:textId="77777777" w:rsidR="00CF7E09" w:rsidRDefault="00CF7E09" w:rsidP="005829E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880" w:type="dxa"/>
          </w:tcPr>
          <w:p w14:paraId="2A24CFAD" w14:textId="77777777" w:rsidR="00CF7E09" w:rsidRDefault="00CF7E09" w:rsidP="005829E3">
            <w:pPr>
              <w:pStyle w:val="EmptyCellLayoutStyle"/>
              <w:spacing w:after="0" w:line="240" w:lineRule="auto"/>
              <w:jc w:val="both"/>
            </w:pPr>
          </w:p>
        </w:tc>
      </w:tr>
      <w:tr w:rsidR="008C316A" w14:paraId="7E22A697" w14:textId="77777777" w:rsidTr="00341F0F">
        <w:trPr>
          <w:trHeight w:val="1879"/>
        </w:trPr>
        <w:tc>
          <w:tcPr>
            <w:tcW w:w="968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F7E09" w14:paraId="015DB28B" w14:textId="77777777">
              <w:trPr>
                <w:trHeight w:val="2473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3EEC" w14:textId="42979A4F" w:rsidR="00CF7E09" w:rsidRDefault="00A4772D" w:rsidP="005829E3">
                  <w:pPr>
                    <w:spacing w:after="0" w:line="240" w:lineRule="auto"/>
                    <w:jc w:val="both"/>
                  </w:pPr>
                  <w:r w:rsidRPr="00A4772D">
                    <w:rPr>
                      <w:rFonts w:ascii="Arial" w:eastAsia="Arial" w:hAnsi="Arial"/>
                      <w:color w:val="000000"/>
                      <w:sz w:val="22"/>
                    </w:rPr>
                    <w:t>3</w:t>
                  </w:r>
                  <w:r w:rsidR="00563E89" w:rsidRPr="00A4772D"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September 2020</w:t>
                  </w:r>
                </w:p>
                <w:p w14:paraId="2B00C49E" w14:textId="77777777" w:rsidR="00CF7E09" w:rsidRDefault="00CF7E09" w:rsidP="005829E3">
                  <w:pPr>
                    <w:spacing w:after="0" w:line="240" w:lineRule="auto"/>
                    <w:jc w:val="both"/>
                  </w:pPr>
                </w:p>
                <w:p w14:paraId="5783B5FE" w14:textId="77777777" w:rsidR="00CF7E09" w:rsidRDefault="00CF7E09" w:rsidP="005829E3">
                  <w:pPr>
                    <w:spacing w:after="0" w:line="240" w:lineRule="auto"/>
                    <w:jc w:val="both"/>
                  </w:pPr>
                </w:p>
                <w:p w14:paraId="7A8BE388" w14:textId="77777777" w:rsidR="00563E89" w:rsidRDefault="00563E89" w:rsidP="005829E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Pattle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Delamore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Partners Limited</w:t>
                  </w:r>
                </w:p>
                <w:p w14:paraId="05D959EF" w14:textId="77777777" w:rsidR="00563E89" w:rsidRDefault="00563E89" w:rsidP="005829E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Attn: Simon Greening</w:t>
                  </w:r>
                </w:p>
                <w:p w14:paraId="65A66A5B" w14:textId="77777777" w:rsidR="00563E89" w:rsidRDefault="00563E89" w:rsidP="005829E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 Box 13274</w:t>
                  </w:r>
                </w:p>
                <w:p w14:paraId="3E709DAC" w14:textId="5BA7CC2E" w:rsidR="00CF7E09" w:rsidRDefault="00563E89" w:rsidP="005829E3">
                  <w:pPr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Tauranga 3141</w:t>
                  </w:r>
                </w:p>
              </w:tc>
            </w:tr>
          </w:tbl>
          <w:p w14:paraId="029736EC" w14:textId="77777777" w:rsidR="00CF7E09" w:rsidRDefault="00CF7E09" w:rsidP="005829E3">
            <w:pPr>
              <w:spacing w:after="0" w:line="240" w:lineRule="auto"/>
              <w:jc w:val="both"/>
            </w:pPr>
          </w:p>
        </w:tc>
      </w:tr>
      <w:tr w:rsidR="00CF7E09" w14:paraId="642AB61E" w14:textId="77777777" w:rsidTr="00341F0F">
        <w:trPr>
          <w:trHeight w:val="141"/>
        </w:trPr>
        <w:tc>
          <w:tcPr>
            <w:tcW w:w="2834" w:type="dxa"/>
          </w:tcPr>
          <w:p w14:paraId="718D8A2E" w14:textId="77777777" w:rsidR="00CF7E09" w:rsidRDefault="00CF7E09" w:rsidP="005829E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968" w:type="dxa"/>
          </w:tcPr>
          <w:p w14:paraId="5DFAF813" w14:textId="77777777" w:rsidR="00CF7E09" w:rsidRDefault="00CF7E09" w:rsidP="005829E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880" w:type="dxa"/>
          </w:tcPr>
          <w:p w14:paraId="000BEA5E" w14:textId="77777777" w:rsidR="00CF7E09" w:rsidRDefault="00CF7E09" w:rsidP="005829E3">
            <w:pPr>
              <w:pStyle w:val="EmptyCellLayoutStyle"/>
              <w:spacing w:after="0" w:line="240" w:lineRule="auto"/>
              <w:jc w:val="both"/>
            </w:pPr>
          </w:p>
        </w:tc>
      </w:tr>
    </w:tbl>
    <w:p w14:paraId="1061E29C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Dear Simon</w:t>
      </w:r>
    </w:p>
    <w:p w14:paraId="163F30C6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</w:p>
    <w:p w14:paraId="113ED4F4" w14:textId="31247B3B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b/>
          <w:sz w:val="24"/>
          <w:szCs w:val="24"/>
        </w:rPr>
      </w:pPr>
      <w:r w:rsidRPr="00341F0F">
        <w:rPr>
          <w:rFonts w:ascii="Arial" w:hAnsi="Arial" w:cs="Arial"/>
          <w:b/>
          <w:sz w:val="24"/>
          <w:szCs w:val="24"/>
        </w:rPr>
        <w:t>Resource consent application RM19-0556 – to dis</w:t>
      </w:r>
      <w:r w:rsidR="00A4772D">
        <w:rPr>
          <w:rFonts w:ascii="Arial" w:hAnsi="Arial" w:cs="Arial"/>
          <w:b/>
          <w:sz w:val="24"/>
          <w:szCs w:val="24"/>
        </w:rPr>
        <w:t xml:space="preserve">charge contaminants to air from </w:t>
      </w:r>
      <w:r w:rsidRPr="00341F0F">
        <w:rPr>
          <w:rFonts w:ascii="Arial" w:hAnsi="Arial" w:cs="Arial"/>
          <w:b/>
          <w:sz w:val="24"/>
          <w:szCs w:val="24"/>
        </w:rPr>
        <w:t>a pet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1F0F">
        <w:rPr>
          <w:rFonts w:ascii="Arial" w:hAnsi="Arial" w:cs="Arial"/>
          <w:b/>
          <w:sz w:val="24"/>
          <w:szCs w:val="24"/>
        </w:rPr>
        <w:t xml:space="preserve">food manufacturing </w:t>
      </w:r>
      <w:r>
        <w:rPr>
          <w:rFonts w:ascii="Arial" w:hAnsi="Arial" w:cs="Arial"/>
          <w:b/>
          <w:sz w:val="24"/>
          <w:szCs w:val="24"/>
        </w:rPr>
        <w:t>facility</w:t>
      </w:r>
      <w:r w:rsidRPr="00341F0F">
        <w:rPr>
          <w:rFonts w:ascii="Arial" w:hAnsi="Arial" w:cs="Arial"/>
          <w:b/>
          <w:sz w:val="24"/>
          <w:szCs w:val="24"/>
        </w:rPr>
        <w:t xml:space="preserve"> – Request for further information.</w:t>
      </w:r>
    </w:p>
    <w:p w14:paraId="327C50E2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</w:p>
    <w:p w14:paraId="6637C970" w14:textId="4CD7CB1C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 xml:space="preserve">Following </w:t>
      </w:r>
      <w:r w:rsidR="00A4772D">
        <w:rPr>
          <w:rFonts w:ascii="Arial" w:hAnsi="Arial" w:cs="Arial"/>
          <w:sz w:val="22"/>
          <w:szCs w:val="22"/>
        </w:rPr>
        <w:t xml:space="preserve">the </w:t>
      </w:r>
      <w:r w:rsidRPr="00341F0F">
        <w:rPr>
          <w:rFonts w:ascii="Arial" w:hAnsi="Arial" w:cs="Arial"/>
          <w:sz w:val="22"/>
          <w:szCs w:val="22"/>
        </w:rPr>
        <w:t>review of your application, the Bay of Plenty Regional Council requests further information (pursuant to section 92(1) of the Resource Management Act 1991 (RMA)) in order to gain a better understanding of the proposal, its potential environmental effects and the proposed mitigation measures, as detailed below:</w:t>
      </w:r>
    </w:p>
    <w:p w14:paraId="0537B7A4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</w:p>
    <w:p w14:paraId="458CBBE9" w14:textId="6B1969CF" w:rsidR="00341F0F" w:rsidRPr="00341F0F" w:rsidRDefault="00341F0F" w:rsidP="00E314C1">
      <w:pPr>
        <w:pStyle w:val="ListParagraph"/>
        <w:numPr>
          <w:ilvl w:val="0"/>
          <w:numId w:val="2"/>
        </w:numPr>
        <w:spacing w:after="0" w:line="240" w:lineRule="auto"/>
        <w:ind w:left="709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Comparison of a wind rose based on observations at the Te Puke AWS with a wind rose based on wind speed/direction data for the site from the modelling meteorological dataset.</w:t>
      </w:r>
    </w:p>
    <w:p w14:paraId="4311AF5D" w14:textId="77777777" w:rsidR="00341F0F" w:rsidRPr="00341F0F" w:rsidRDefault="00341F0F" w:rsidP="00A764D3">
      <w:pPr>
        <w:spacing w:after="0" w:line="240" w:lineRule="auto"/>
        <w:ind w:left="709" w:right="850" w:hanging="578"/>
        <w:jc w:val="both"/>
        <w:rPr>
          <w:rFonts w:ascii="Arial" w:hAnsi="Arial" w:cs="Arial"/>
          <w:sz w:val="22"/>
          <w:szCs w:val="22"/>
        </w:rPr>
      </w:pPr>
    </w:p>
    <w:p w14:paraId="188154D6" w14:textId="7D01A2BA" w:rsidR="00341F0F" w:rsidRPr="00341F0F" w:rsidRDefault="00341F0F" w:rsidP="00E314C1">
      <w:pPr>
        <w:pStyle w:val="ListParagraph"/>
        <w:numPr>
          <w:ilvl w:val="0"/>
          <w:numId w:val="2"/>
        </w:numPr>
        <w:spacing w:after="0" w:line="240" w:lineRule="auto"/>
        <w:ind w:left="709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 xml:space="preserve">Further information on the reliability of odour emission measurements using a portable </w:t>
      </w:r>
      <w:proofErr w:type="spellStart"/>
      <w:r w:rsidRPr="00341F0F">
        <w:rPr>
          <w:rFonts w:ascii="Arial" w:hAnsi="Arial" w:cs="Arial"/>
          <w:sz w:val="22"/>
          <w:szCs w:val="22"/>
        </w:rPr>
        <w:t>olfactometer</w:t>
      </w:r>
      <w:proofErr w:type="spellEnd"/>
      <w:r w:rsidRPr="00341F0F">
        <w:rPr>
          <w:rFonts w:ascii="Arial" w:hAnsi="Arial" w:cs="Arial"/>
          <w:sz w:val="22"/>
          <w:szCs w:val="22"/>
        </w:rPr>
        <w:t>, including the level of confidence that maximum odour emission concentrations from the wet scrubber will not exceed 2,000 OU/m</w:t>
      </w:r>
      <w:r w:rsidRPr="00A4772D">
        <w:rPr>
          <w:rFonts w:ascii="Arial" w:hAnsi="Arial" w:cs="Arial"/>
          <w:sz w:val="22"/>
          <w:szCs w:val="22"/>
          <w:vertAlign w:val="superscript"/>
        </w:rPr>
        <w:t>3</w:t>
      </w:r>
      <w:r w:rsidRPr="00341F0F">
        <w:rPr>
          <w:rFonts w:ascii="Arial" w:hAnsi="Arial" w:cs="Arial"/>
          <w:sz w:val="22"/>
          <w:szCs w:val="22"/>
        </w:rPr>
        <w:t xml:space="preserve">. If available, this should include information (e.g. comparative emission measurements or research papers) evaluating measurements conducted with the portable </w:t>
      </w:r>
      <w:proofErr w:type="spellStart"/>
      <w:r w:rsidRPr="00341F0F">
        <w:rPr>
          <w:rFonts w:ascii="Arial" w:hAnsi="Arial" w:cs="Arial"/>
          <w:sz w:val="22"/>
          <w:szCs w:val="22"/>
        </w:rPr>
        <w:t>olfactometer</w:t>
      </w:r>
      <w:proofErr w:type="spellEnd"/>
      <w:r w:rsidRPr="00341F0F">
        <w:rPr>
          <w:rFonts w:ascii="Arial" w:hAnsi="Arial" w:cs="Arial"/>
          <w:sz w:val="22"/>
          <w:szCs w:val="22"/>
        </w:rPr>
        <w:t xml:space="preserve"> compared to standard methods (such as AS/NZS 4323.3).</w:t>
      </w:r>
    </w:p>
    <w:p w14:paraId="34A0453F" w14:textId="77777777" w:rsidR="00341F0F" w:rsidRPr="00341F0F" w:rsidRDefault="00341F0F" w:rsidP="00A764D3">
      <w:pPr>
        <w:spacing w:after="0" w:line="240" w:lineRule="auto"/>
        <w:ind w:left="709" w:right="850" w:hanging="578"/>
        <w:jc w:val="both"/>
        <w:rPr>
          <w:rFonts w:ascii="Arial" w:hAnsi="Arial" w:cs="Arial"/>
          <w:sz w:val="22"/>
          <w:szCs w:val="22"/>
        </w:rPr>
      </w:pPr>
    </w:p>
    <w:p w14:paraId="038D61E0" w14:textId="1CD6F41D" w:rsidR="00341F0F" w:rsidRPr="00341F0F" w:rsidRDefault="00341F0F" w:rsidP="00E314C1">
      <w:pPr>
        <w:pStyle w:val="ListParagraph"/>
        <w:numPr>
          <w:ilvl w:val="0"/>
          <w:numId w:val="2"/>
        </w:numPr>
        <w:spacing w:after="0" w:line="240" w:lineRule="auto"/>
        <w:ind w:left="709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Confirmation that the worst-case meteorological conditions for dispersion of odour remains neutral to stable conditions for the new, taller stack.</w:t>
      </w:r>
    </w:p>
    <w:p w14:paraId="61F075A3" w14:textId="77777777" w:rsidR="00341F0F" w:rsidRPr="00341F0F" w:rsidRDefault="00341F0F" w:rsidP="00A764D3">
      <w:pPr>
        <w:spacing w:after="0" w:line="240" w:lineRule="auto"/>
        <w:ind w:left="709" w:right="850" w:hanging="578"/>
        <w:jc w:val="both"/>
        <w:rPr>
          <w:rFonts w:ascii="Arial" w:hAnsi="Arial" w:cs="Arial"/>
          <w:sz w:val="22"/>
          <w:szCs w:val="22"/>
        </w:rPr>
      </w:pPr>
    </w:p>
    <w:p w14:paraId="60DDCEF2" w14:textId="0745A892" w:rsidR="00341F0F" w:rsidRPr="00341F0F" w:rsidRDefault="00341F0F" w:rsidP="00E314C1">
      <w:pPr>
        <w:pStyle w:val="ListParagraph"/>
        <w:numPr>
          <w:ilvl w:val="0"/>
          <w:numId w:val="2"/>
        </w:numPr>
        <w:spacing w:after="0" w:line="240" w:lineRule="auto"/>
        <w:ind w:left="709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Confirmation that the odour modelling scenarios assume continuous (i.e. 24 hours per day) operation.</w:t>
      </w:r>
    </w:p>
    <w:p w14:paraId="385906DC" w14:textId="77777777" w:rsidR="00341F0F" w:rsidRPr="00341F0F" w:rsidRDefault="00341F0F" w:rsidP="00A764D3">
      <w:pPr>
        <w:spacing w:after="0" w:line="240" w:lineRule="auto"/>
        <w:ind w:left="709" w:right="850" w:hanging="578"/>
        <w:jc w:val="both"/>
        <w:rPr>
          <w:rFonts w:ascii="Arial" w:hAnsi="Arial" w:cs="Arial"/>
          <w:sz w:val="22"/>
          <w:szCs w:val="22"/>
        </w:rPr>
      </w:pPr>
    </w:p>
    <w:p w14:paraId="4A6903CF" w14:textId="5F094B18" w:rsidR="00341F0F" w:rsidRPr="00341F0F" w:rsidRDefault="00341F0F" w:rsidP="00E314C1">
      <w:pPr>
        <w:pStyle w:val="ListParagraph"/>
        <w:numPr>
          <w:ilvl w:val="0"/>
          <w:numId w:val="2"/>
        </w:numPr>
        <w:spacing w:after="0" w:line="240" w:lineRule="auto"/>
        <w:ind w:left="709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Design and operational parameters relevant to the performance of the proposed scrubber, including:</w:t>
      </w:r>
    </w:p>
    <w:p w14:paraId="39C3E687" w14:textId="50373119" w:rsidR="00341F0F" w:rsidRPr="00341F0F" w:rsidRDefault="00341F0F" w:rsidP="00E314C1">
      <w:pPr>
        <w:pStyle w:val="ListParagraph"/>
        <w:numPr>
          <w:ilvl w:val="1"/>
          <w:numId w:val="2"/>
        </w:numPr>
        <w:spacing w:after="0" w:line="240" w:lineRule="auto"/>
        <w:ind w:left="1418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Whether the scrubber is a vertical or cross-flow design;</w:t>
      </w:r>
    </w:p>
    <w:p w14:paraId="2B6FAA14" w14:textId="57168409" w:rsidR="00341F0F" w:rsidRPr="00341F0F" w:rsidRDefault="00341F0F" w:rsidP="00E314C1">
      <w:pPr>
        <w:pStyle w:val="ListParagraph"/>
        <w:numPr>
          <w:ilvl w:val="1"/>
          <w:numId w:val="2"/>
        </w:numPr>
        <w:spacing w:after="0" w:line="240" w:lineRule="auto"/>
        <w:ind w:left="1418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Scrubber internal dimensions;</w:t>
      </w:r>
    </w:p>
    <w:p w14:paraId="75DC7D5B" w14:textId="3291E5D1" w:rsidR="00341F0F" w:rsidRPr="00341F0F" w:rsidRDefault="00341F0F" w:rsidP="00E314C1">
      <w:pPr>
        <w:pStyle w:val="ListParagraph"/>
        <w:numPr>
          <w:ilvl w:val="1"/>
          <w:numId w:val="2"/>
        </w:numPr>
        <w:spacing w:after="0" w:line="240" w:lineRule="auto"/>
        <w:ind w:left="1418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Packing type and details of any redistribution plates or droplet eliminators;</w:t>
      </w:r>
    </w:p>
    <w:p w14:paraId="26C1FFD3" w14:textId="06D8E143" w:rsidR="00341F0F" w:rsidRPr="00341F0F" w:rsidRDefault="00341F0F" w:rsidP="00E314C1">
      <w:pPr>
        <w:pStyle w:val="ListParagraph"/>
        <w:numPr>
          <w:ilvl w:val="1"/>
          <w:numId w:val="2"/>
        </w:numPr>
        <w:spacing w:after="0" w:line="240" w:lineRule="auto"/>
        <w:ind w:left="1418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Proposed chemical dosing rate and any operational targets, e.g. pH or oxidant level;</w:t>
      </w:r>
    </w:p>
    <w:p w14:paraId="7B800D8D" w14:textId="015224A1" w:rsidR="00341F0F" w:rsidRPr="00341F0F" w:rsidRDefault="00341F0F" w:rsidP="00E314C1">
      <w:pPr>
        <w:pStyle w:val="ListParagraph"/>
        <w:numPr>
          <w:ilvl w:val="1"/>
          <w:numId w:val="2"/>
        </w:numPr>
        <w:spacing w:after="0" w:line="240" w:lineRule="auto"/>
        <w:ind w:left="1418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Liquid recirculation rate;</w:t>
      </w:r>
    </w:p>
    <w:p w14:paraId="7A94DA7F" w14:textId="4BF643E0" w:rsidR="00341F0F" w:rsidRPr="00341F0F" w:rsidRDefault="00341F0F" w:rsidP="00E314C1">
      <w:pPr>
        <w:pStyle w:val="ListParagraph"/>
        <w:numPr>
          <w:ilvl w:val="1"/>
          <w:numId w:val="2"/>
        </w:numPr>
        <w:spacing w:after="0" w:line="240" w:lineRule="auto"/>
        <w:ind w:left="1418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Controls on liquid level and proposed blowdown/top-up;</w:t>
      </w:r>
    </w:p>
    <w:p w14:paraId="3B8F3924" w14:textId="187AA2BA" w:rsidR="00341F0F" w:rsidRPr="00341F0F" w:rsidRDefault="00341F0F" w:rsidP="00E314C1">
      <w:pPr>
        <w:pStyle w:val="ListParagraph"/>
        <w:numPr>
          <w:ilvl w:val="1"/>
          <w:numId w:val="2"/>
        </w:numPr>
        <w:spacing w:after="0" w:line="240" w:lineRule="auto"/>
        <w:ind w:left="1418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Operating temperature; and</w:t>
      </w:r>
    </w:p>
    <w:p w14:paraId="008FEF6D" w14:textId="3D2349C1" w:rsidR="00341F0F" w:rsidRPr="00341F0F" w:rsidRDefault="00341F0F" w:rsidP="00E314C1">
      <w:pPr>
        <w:pStyle w:val="ListParagraph"/>
        <w:numPr>
          <w:ilvl w:val="1"/>
          <w:numId w:val="2"/>
        </w:numPr>
        <w:spacing w:after="0" w:line="240" w:lineRule="auto"/>
        <w:ind w:left="1418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Methods to eliminate oil/fat droplets entering the scrubber.</w:t>
      </w:r>
    </w:p>
    <w:p w14:paraId="2CE0D7CE" w14:textId="18486C2F" w:rsidR="00341F0F" w:rsidRPr="00341F0F" w:rsidRDefault="00341F0F" w:rsidP="00E314C1">
      <w:pPr>
        <w:pStyle w:val="ListParagraph"/>
        <w:numPr>
          <w:ilvl w:val="1"/>
          <w:numId w:val="2"/>
        </w:numPr>
        <w:spacing w:after="0" w:line="240" w:lineRule="auto"/>
        <w:ind w:left="1418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A description of the general ventilation arrangements for the processing room.</w:t>
      </w:r>
    </w:p>
    <w:p w14:paraId="48C3BDF2" w14:textId="77777777" w:rsidR="00341F0F" w:rsidRPr="00341F0F" w:rsidRDefault="00341F0F" w:rsidP="00A764D3">
      <w:pPr>
        <w:spacing w:after="0" w:line="240" w:lineRule="auto"/>
        <w:ind w:left="709" w:right="850" w:hanging="578"/>
        <w:jc w:val="both"/>
        <w:rPr>
          <w:rFonts w:ascii="Arial" w:hAnsi="Arial" w:cs="Arial"/>
          <w:sz w:val="22"/>
          <w:szCs w:val="22"/>
        </w:rPr>
      </w:pPr>
    </w:p>
    <w:p w14:paraId="35BAB976" w14:textId="1A996A20" w:rsidR="00341F0F" w:rsidRPr="00A4772D" w:rsidRDefault="00341F0F" w:rsidP="00A4772D">
      <w:pPr>
        <w:pStyle w:val="ListParagraph"/>
        <w:numPr>
          <w:ilvl w:val="0"/>
          <w:numId w:val="2"/>
        </w:numPr>
        <w:spacing w:after="0" w:line="240" w:lineRule="auto"/>
        <w:ind w:left="709" w:right="850" w:hanging="578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lastRenderedPageBreak/>
        <w:t xml:space="preserve">A draft Odour Management Plan that details the procedures and mitigation measures undertaken, including a description of contingency measures to address odour. </w:t>
      </w:r>
      <w:r w:rsidRPr="00A4772D">
        <w:rPr>
          <w:rFonts w:ascii="Arial" w:hAnsi="Arial" w:cs="Arial"/>
          <w:sz w:val="22"/>
          <w:szCs w:val="22"/>
        </w:rPr>
        <w:t xml:space="preserve">Please </w:t>
      </w:r>
      <w:r w:rsidR="00A4772D">
        <w:rPr>
          <w:rFonts w:ascii="Arial" w:hAnsi="Arial" w:cs="Arial"/>
          <w:sz w:val="22"/>
          <w:szCs w:val="22"/>
        </w:rPr>
        <w:t xml:space="preserve">also </w:t>
      </w:r>
      <w:r w:rsidRPr="00A4772D">
        <w:rPr>
          <w:rFonts w:ascii="Arial" w:hAnsi="Arial" w:cs="Arial"/>
          <w:sz w:val="22"/>
          <w:szCs w:val="22"/>
        </w:rPr>
        <w:t>confirm whether or not the draft Odour Management Plan has been drafted in accordance with Appendix 1: Odour management plans</w:t>
      </w:r>
      <w:r w:rsidR="00A764D3" w:rsidRPr="00A4772D">
        <w:rPr>
          <w:rFonts w:ascii="Arial" w:hAnsi="Arial" w:cs="Arial"/>
          <w:sz w:val="22"/>
          <w:szCs w:val="22"/>
        </w:rPr>
        <w:t xml:space="preserve"> of the Ministry for the Environment, 2016, Good Practice Guide for Assessing and Managing Odour</w:t>
      </w:r>
      <w:r w:rsidRPr="00A4772D">
        <w:rPr>
          <w:rFonts w:ascii="Arial" w:hAnsi="Arial" w:cs="Arial"/>
          <w:sz w:val="22"/>
          <w:szCs w:val="22"/>
        </w:rPr>
        <w:t>.</w:t>
      </w:r>
    </w:p>
    <w:p w14:paraId="5362F119" w14:textId="77777777" w:rsidR="00341F0F" w:rsidRPr="00341F0F" w:rsidRDefault="00341F0F" w:rsidP="00341F0F">
      <w:pPr>
        <w:pStyle w:val="ListParagraph"/>
        <w:spacing w:after="0" w:line="240" w:lineRule="auto"/>
        <w:ind w:left="1800" w:right="850"/>
        <w:jc w:val="both"/>
        <w:rPr>
          <w:rFonts w:ascii="Arial" w:hAnsi="Arial" w:cs="Arial"/>
          <w:sz w:val="22"/>
          <w:szCs w:val="22"/>
        </w:rPr>
      </w:pPr>
    </w:p>
    <w:p w14:paraId="0AA60836" w14:textId="4813C344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 xml:space="preserve">Please see the attached air quality technical review for background as to why this information is being requested. </w:t>
      </w:r>
    </w:p>
    <w:p w14:paraId="1E95B3B2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</w:p>
    <w:p w14:paraId="701B705A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Once we receive the information above, we will continue processing your application.</w:t>
      </w:r>
    </w:p>
    <w:p w14:paraId="67B231D7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</w:p>
    <w:p w14:paraId="3A2EFCC4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When and how should I respond?</w:t>
      </w:r>
    </w:p>
    <w:p w14:paraId="37A3C81D" w14:textId="25F093B9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 xml:space="preserve">You must respond to this request by </w:t>
      </w:r>
      <w:r w:rsidRPr="00216079">
        <w:rPr>
          <w:rFonts w:ascii="Arial" w:hAnsi="Arial" w:cs="Arial"/>
          <w:b/>
          <w:sz w:val="22"/>
          <w:szCs w:val="22"/>
        </w:rPr>
        <w:t>2</w:t>
      </w:r>
      <w:r w:rsidR="00216079" w:rsidRPr="00216079">
        <w:rPr>
          <w:rFonts w:ascii="Arial" w:hAnsi="Arial" w:cs="Arial"/>
          <w:b/>
          <w:sz w:val="22"/>
          <w:szCs w:val="22"/>
        </w:rPr>
        <w:t>4</w:t>
      </w:r>
      <w:r w:rsidRPr="00216079">
        <w:rPr>
          <w:rFonts w:ascii="Arial" w:hAnsi="Arial" w:cs="Arial"/>
          <w:b/>
          <w:sz w:val="22"/>
          <w:szCs w:val="22"/>
        </w:rPr>
        <w:t xml:space="preserve"> September 2020</w:t>
      </w:r>
      <w:r w:rsidRPr="00341F0F">
        <w:rPr>
          <w:rFonts w:ascii="Arial" w:hAnsi="Arial" w:cs="Arial"/>
          <w:sz w:val="22"/>
          <w:szCs w:val="22"/>
        </w:rPr>
        <w:t xml:space="preserve"> (in accordance with section </w:t>
      </w:r>
      <w:proofErr w:type="gramStart"/>
      <w:r w:rsidRPr="00341F0F">
        <w:rPr>
          <w:rFonts w:ascii="Arial" w:hAnsi="Arial" w:cs="Arial"/>
          <w:sz w:val="22"/>
          <w:szCs w:val="22"/>
        </w:rPr>
        <w:t>92A(</w:t>
      </w:r>
      <w:proofErr w:type="gramEnd"/>
      <w:r w:rsidRPr="00341F0F">
        <w:rPr>
          <w:rFonts w:ascii="Arial" w:hAnsi="Arial" w:cs="Arial"/>
          <w:sz w:val="22"/>
          <w:szCs w:val="22"/>
        </w:rPr>
        <w:t>1) of the RMA). You may either:</w:t>
      </w:r>
    </w:p>
    <w:p w14:paraId="6DCEC38C" w14:textId="77777777" w:rsidR="00341F0F" w:rsidRDefault="00341F0F" w:rsidP="00E314C1">
      <w:pPr>
        <w:pStyle w:val="ListParagraph"/>
        <w:numPr>
          <w:ilvl w:val="0"/>
          <w:numId w:val="1"/>
        </w:num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Provide the required information;</w:t>
      </w:r>
    </w:p>
    <w:p w14:paraId="5F95F641" w14:textId="77777777" w:rsidR="00341F0F" w:rsidRDefault="00341F0F" w:rsidP="00E314C1">
      <w:pPr>
        <w:pStyle w:val="ListParagraph"/>
        <w:numPr>
          <w:ilvl w:val="0"/>
          <w:numId w:val="1"/>
        </w:num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Write to us stating that you will supply the required information but need more time; or</w:t>
      </w:r>
    </w:p>
    <w:p w14:paraId="519A8521" w14:textId="106DCE74" w:rsidR="00341F0F" w:rsidRPr="00341F0F" w:rsidRDefault="00341F0F" w:rsidP="00E314C1">
      <w:pPr>
        <w:pStyle w:val="ListParagraph"/>
        <w:numPr>
          <w:ilvl w:val="0"/>
          <w:numId w:val="1"/>
        </w:num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Write to us stating that you refuse to provide the required information.</w:t>
      </w:r>
    </w:p>
    <w:p w14:paraId="2FF217CF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</w:p>
    <w:p w14:paraId="75882B59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What happens if I do not respond or refuse to provide the information?</w:t>
      </w:r>
    </w:p>
    <w:p w14:paraId="03F3FCA8" w14:textId="383EA2A8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 xml:space="preserve">If you do not respond by </w:t>
      </w:r>
      <w:bookmarkStart w:id="0" w:name="_GoBack"/>
      <w:bookmarkEnd w:id="0"/>
      <w:r w:rsidR="00216079" w:rsidRPr="00216079">
        <w:rPr>
          <w:rFonts w:ascii="Arial" w:hAnsi="Arial" w:cs="Arial"/>
          <w:b/>
          <w:sz w:val="22"/>
          <w:szCs w:val="22"/>
        </w:rPr>
        <w:t>24</w:t>
      </w:r>
      <w:r w:rsidRPr="00216079">
        <w:rPr>
          <w:rFonts w:ascii="Arial" w:hAnsi="Arial" w:cs="Arial"/>
          <w:b/>
          <w:sz w:val="22"/>
          <w:szCs w:val="22"/>
        </w:rPr>
        <w:t xml:space="preserve"> September 2020</w:t>
      </w:r>
      <w:r w:rsidRPr="00341F0F">
        <w:rPr>
          <w:rFonts w:ascii="Arial" w:hAnsi="Arial" w:cs="Arial"/>
          <w:sz w:val="22"/>
          <w:szCs w:val="22"/>
        </w:rPr>
        <w:t xml:space="preserve"> or refuse to provide the requested information, then we must continue to process your application (under section </w:t>
      </w:r>
      <w:proofErr w:type="gramStart"/>
      <w:r w:rsidRPr="00341F0F">
        <w:rPr>
          <w:rFonts w:ascii="Arial" w:hAnsi="Arial" w:cs="Arial"/>
          <w:sz w:val="22"/>
          <w:szCs w:val="22"/>
        </w:rPr>
        <w:t>92B(</w:t>
      </w:r>
      <w:proofErr w:type="gramEnd"/>
      <w:r w:rsidRPr="00341F0F">
        <w:rPr>
          <w:rFonts w:ascii="Arial" w:hAnsi="Arial" w:cs="Arial"/>
          <w:sz w:val="22"/>
          <w:szCs w:val="22"/>
        </w:rPr>
        <w:t xml:space="preserve">2) of the RMA) but your application is likely to be notified, which will incur extra costs, and/or declined. </w:t>
      </w:r>
    </w:p>
    <w:p w14:paraId="42306E4E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</w:p>
    <w:p w14:paraId="570485CB" w14:textId="097D060C" w:rsid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 xml:space="preserve">Please feel free to contact me about this letter on 0800 884 881 extension 8872 or </w:t>
      </w:r>
      <w:hyperlink r:id="rId10" w:history="1">
        <w:r w:rsidRPr="003B5945">
          <w:rPr>
            <w:rStyle w:val="Hyperlink"/>
            <w:rFonts w:ascii="Arial" w:hAnsi="Arial" w:cs="Arial"/>
            <w:sz w:val="22"/>
            <w:szCs w:val="22"/>
          </w:rPr>
          <w:t>Danielle.petricevich@boprc.govt.nz</w:t>
        </w:r>
      </w:hyperlink>
      <w:r w:rsidRPr="00341F0F">
        <w:rPr>
          <w:rFonts w:ascii="Arial" w:hAnsi="Arial" w:cs="Arial"/>
          <w:sz w:val="22"/>
          <w:szCs w:val="22"/>
        </w:rPr>
        <w:t>.</w:t>
      </w:r>
    </w:p>
    <w:p w14:paraId="1C5DBCC0" w14:textId="77777777" w:rsid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</w:p>
    <w:p w14:paraId="2C93B73C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</w:p>
    <w:p w14:paraId="638DA651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</w:p>
    <w:p w14:paraId="4C326F01" w14:textId="5C207CB1" w:rsid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 xml:space="preserve">Yours sincerely, </w:t>
      </w:r>
    </w:p>
    <w:p w14:paraId="655C70DC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</w:p>
    <w:p w14:paraId="45D963B0" w14:textId="2BC8C578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 xml:space="preserve"> </w:t>
      </w:r>
      <w:r w:rsidRPr="00341F0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4C50B4" wp14:editId="1AC0E781">
            <wp:extent cx="2061714" cy="7099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10" cy="71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271C" w14:textId="77777777" w:rsidR="00341F0F" w:rsidRPr="00341F0F" w:rsidRDefault="00341F0F" w:rsidP="00341F0F">
      <w:pPr>
        <w:spacing w:after="0" w:line="24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341F0F">
        <w:rPr>
          <w:rFonts w:ascii="Arial" w:hAnsi="Arial" w:cs="Arial"/>
          <w:sz w:val="22"/>
          <w:szCs w:val="22"/>
        </w:rPr>
        <w:t>Danielle Petricevich</w:t>
      </w:r>
    </w:p>
    <w:p w14:paraId="7C3344A5" w14:textId="77777777" w:rsidR="00341F0F" w:rsidRDefault="00341F0F" w:rsidP="00341F0F">
      <w:pPr>
        <w:spacing w:after="0" w:line="240" w:lineRule="auto"/>
        <w:ind w:right="850"/>
        <w:jc w:val="both"/>
      </w:pPr>
      <w:r w:rsidRPr="00341F0F">
        <w:rPr>
          <w:rFonts w:ascii="Arial" w:hAnsi="Arial" w:cs="Arial"/>
          <w:sz w:val="22"/>
          <w:szCs w:val="22"/>
        </w:rPr>
        <w:t>Senior Consents Planner</w:t>
      </w:r>
    </w:p>
    <w:p w14:paraId="55DD6839" w14:textId="77777777" w:rsidR="00341F0F" w:rsidRDefault="00341F0F" w:rsidP="00341F0F">
      <w:pPr>
        <w:spacing w:after="0" w:line="240" w:lineRule="auto"/>
        <w:jc w:val="both"/>
      </w:pPr>
    </w:p>
    <w:p w14:paraId="7C3A42DD" w14:textId="77777777" w:rsidR="00CF7E09" w:rsidRDefault="00CF7E09" w:rsidP="00341F0F">
      <w:pPr>
        <w:spacing w:after="0" w:line="240" w:lineRule="auto"/>
        <w:jc w:val="both"/>
      </w:pPr>
    </w:p>
    <w:sectPr w:rsidR="00CF7E09">
      <w:footerReference w:type="default" r:id="rId12"/>
      <w:pgSz w:w="11905" w:h="16837"/>
      <w:pgMar w:top="1133" w:right="566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E7185" w14:textId="77777777" w:rsidR="0085666F" w:rsidRDefault="0085666F">
      <w:pPr>
        <w:spacing w:after="0" w:line="240" w:lineRule="auto"/>
      </w:pPr>
      <w:r>
        <w:separator/>
      </w:r>
    </w:p>
  </w:endnote>
  <w:endnote w:type="continuationSeparator" w:id="0">
    <w:p w14:paraId="07210C2B" w14:textId="77777777" w:rsidR="0085666F" w:rsidRDefault="0085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9"/>
      <w:gridCol w:w="1133"/>
      <w:gridCol w:w="2834"/>
    </w:tblGrid>
    <w:tr w:rsidR="00CF7E09" w14:paraId="2ED5105E" w14:textId="77777777">
      <w:tc>
        <w:tcPr>
          <w:tcW w:w="5669" w:type="dxa"/>
        </w:tcPr>
        <w:p w14:paraId="3D3EC7F2" w14:textId="77777777" w:rsidR="00CF7E09" w:rsidRDefault="00CF7E09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14:paraId="2C897053" w14:textId="77777777" w:rsidR="00CF7E09" w:rsidRDefault="00CF7E09">
          <w:pPr>
            <w:pStyle w:val="EmptyCellLayoutStyle"/>
            <w:spacing w:after="0" w:line="240" w:lineRule="auto"/>
          </w:pPr>
        </w:p>
      </w:tc>
      <w:tc>
        <w:tcPr>
          <w:tcW w:w="2834" w:type="dxa"/>
        </w:tcPr>
        <w:p w14:paraId="2FA6D8B9" w14:textId="77777777" w:rsidR="00CF7E09" w:rsidRDefault="00CF7E09">
          <w:pPr>
            <w:pStyle w:val="EmptyCellLayoutStyle"/>
            <w:spacing w:after="0" w:line="240" w:lineRule="auto"/>
          </w:pPr>
        </w:p>
      </w:tc>
    </w:tr>
    <w:tr w:rsidR="008C316A" w14:paraId="73BD7388" w14:textId="77777777" w:rsidTr="008C316A">
      <w:tc>
        <w:tcPr>
          <w:tcW w:w="5669" w:type="dxa"/>
          <w:gridSpan w:val="3"/>
          <w:tcBorders>
            <w:top w:val="nil"/>
            <w:left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EE1B3D9" w14:textId="77777777" w:rsidR="00CF7E09" w:rsidRDefault="00EB7B9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5007F0A" wp14:editId="0F167642">
                <wp:extent cx="5824003" cy="234000"/>
                <wp:effectExtent l="0" t="0" r="0" b="0"/>
                <wp:docPr id="6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003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7E09" w14:paraId="35DE916D" w14:textId="77777777">
      <w:tc>
        <w:tcPr>
          <w:tcW w:w="5669" w:type="dxa"/>
        </w:tcPr>
        <w:p w14:paraId="4606113B" w14:textId="77777777" w:rsidR="00CF7E09" w:rsidRDefault="00CF7E09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14:paraId="71CFE2C4" w14:textId="77777777" w:rsidR="00CF7E09" w:rsidRDefault="00CF7E09">
          <w:pPr>
            <w:pStyle w:val="EmptyCellLayoutStyle"/>
            <w:spacing w:after="0" w:line="240" w:lineRule="auto"/>
          </w:pPr>
        </w:p>
      </w:tc>
      <w:tc>
        <w:tcPr>
          <w:tcW w:w="2834" w:type="dxa"/>
        </w:tcPr>
        <w:p w14:paraId="4F3B6D57" w14:textId="77777777" w:rsidR="00CF7E09" w:rsidRDefault="00CF7E09">
          <w:pPr>
            <w:pStyle w:val="EmptyCellLayoutStyle"/>
            <w:spacing w:after="0" w:line="240" w:lineRule="auto"/>
          </w:pPr>
        </w:p>
      </w:tc>
    </w:tr>
    <w:tr w:rsidR="00CF7E09" w14:paraId="3F348F83" w14:textId="77777777">
      <w:tc>
        <w:tcPr>
          <w:tcW w:w="566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9"/>
          </w:tblGrid>
          <w:tr w:rsidR="00CF7E09" w14:paraId="13763DC5" w14:textId="77777777">
            <w:trPr>
              <w:trHeight w:val="205"/>
            </w:trPr>
            <w:tc>
              <w:tcPr>
                <w:tcW w:w="566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67DCEE0" w14:textId="77777777" w:rsidR="00CF7E09" w:rsidRDefault="00EB7B9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6"/>
                  </w:rPr>
                  <w:t xml:space="preserve">Report ID: 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>BRCCNLT008</w:t>
                </w:r>
              </w:p>
            </w:tc>
          </w:tr>
        </w:tbl>
        <w:p w14:paraId="3A2C729A" w14:textId="77777777" w:rsidR="00CF7E09" w:rsidRDefault="00CF7E09">
          <w:pPr>
            <w:spacing w:after="0" w:line="240" w:lineRule="auto"/>
          </w:pPr>
        </w:p>
      </w:tc>
      <w:tc>
        <w:tcPr>
          <w:tcW w:w="1133" w:type="dxa"/>
        </w:tcPr>
        <w:p w14:paraId="56355516" w14:textId="77777777" w:rsidR="00CF7E09" w:rsidRDefault="00CF7E09">
          <w:pPr>
            <w:pStyle w:val="EmptyCellLayoutStyle"/>
            <w:spacing w:after="0" w:line="240" w:lineRule="auto"/>
          </w:pPr>
        </w:p>
      </w:tc>
      <w:tc>
        <w:tcPr>
          <w:tcW w:w="283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4"/>
          </w:tblGrid>
          <w:tr w:rsidR="00CF7E09" w14:paraId="5195FAA0" w14:textId="77777777">
            <w:trPr>
              <w:trHeight w:val="244"/>
            </w:trPr>
            <w:tc>
              <w:tcPr>
                <w:tcW w:w="283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14:paraId="570E1059" w14:textId="62D07D84" w:rsidR="00CF7E09" w:rsidRDefault="00EB7B9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Page: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1607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1607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1BCB33B" w14:textId="77777777" w:rsidR="00CF7E09" w:rsidRDefault="00CF7E09">
          <w:pPr>
            <w:spacing w:after="0" w:line="240" w:lineRule="auto"/>
          </w:pPr>
        </w:p>
      </w:tc>
    </w:tr>
    <w:tr w:rsidR="00CF7E09" w14:paraId="54EA3D8C" w14:textId="77777777">
      <w:tc>
        <w:tcPr>
          <w:tcW w:w="5669" w:type="dxa"/>
        </w:tcPr>
        <w:p w14:paraId="5E726D75" w14:textId="77777777" w:rsidR="00CF7E09" w:rsidRDefault="00CF7E09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14:paraId="66DDFC51" w14:textId="77777777" w:rsidR="00CF7E09" w:rsidRDefault="00CF7E09">
          <w:pPr>
            <w:pStyle w:val="EmptyCellLayoutStyle"/>
            <w:spacing w:after="0" w:line="240" w:lineRule="auto"/>
          </w:pPr>
        </w:p>
      </w:tc>
      <w:tc>
        <w:tcPr>
          <w:tcW w:w="2834" w:type="dxa"/>
        </w:tcPr>
        <w:p w14:paraId="6D258EF5" w14:textId="77777777" w:rsidR="00CF7E09" w:rsidRDefault="00CF7E0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C660" w14:textId="77777777" w:rsidR="0085666F" w:rsidRDefault="0085666F">
      <w:pPr>
        <w:spacing w:after="0" w:line="240" w:lineRule="auto"/>
      </w:pPr>
      <w:r>
        <w:separator/>
      </w:r>
    </w:p>
  </w:footnote>
  <w:footnote w:type="continuationSeparator" w:id="0">
    <w:p w14:paraId="36EA76AC" w14:textId="77777777" w:rsidR="0085666F" w:rsidRDefault="0085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E9B"/>
    <w:multiLevelType w:val="hybridMultilevel"/>
    <w:tmpl w:val="E0C46602"/>
    <w:lvl w:ilvl="0" w:tplc="C464A9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84BEC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843B3"/>
    <w:multiLevelType w:val="hybridMultilevel"/>
    <w:tmpl w:val="08D4FC84"/>
    <w:lvl w:ilvl="0" w:tplc="C08E87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7528CE6">
      <w:numFmt w:val="bullet"/>
      <w:lvlText w:val="·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09"/>
    <w:rsid w:val="000C48C8"/>
    <w:rsid w:val="001449D4"/>
    <w:rsid w:val="001C1C72"/>
    <w:rsid w:val="00216079"/>
    <w:rsid w:val="002D5129"/>
    <w:rsid w:val="00341F0F"/>
    <w:rsid w:val="0037489D"/>
    <w:rsid w:val="003762B0"/>
    <w:rsid w:val="003F0416"/>
    <w:rsid w:val="004C020D"/>
    <w:rsid w:val="00563E89"/>
    <w:rsid w:val="005829E3"/>
    <w:rsid w:val="005C344E"/>
    <w:rsid w:val="006754EC"/>
    <w:rsid w:val="006C32E3"/>
    <w:rsid w:val="0070233B"/>
    <w:rsid w:val="007C4D72"/>
    <w:rsid w:val="007D4052"/>
    <w:rsid w:val="007F606D"/>
    <w:rsid w:val="0085666F"/>
    <w:rsid w:val="008C0599"/>
    <w:rsid w:val="008C316A"/>
    <w:rsid w:val="00A4772D"/>
    <w:rsid w:val="00A764D3"/>
    <w:rsid w:val="00AF39CB"/>
    <w:rsid w:val="00B177F4"/>
    <w:rsid w:val="00B82362"/>
    <w:rsid w:val="00B9716D"/>
    <w:rsid w:val="00BE77FA"/>
    <w:rsid w:val="00C27C70"/>
    <w:rsid w:val="00CD0F0E"/>
    <w:rsid w:val="00CF7E09"/>
    <w:rsid w:val="00D44DFD"/>
    <w:rsid w:val="00D562CD"/>
    <w:rsid w:val="00E041F8"/>
    <w:rsid w:val="00E27E65"/>
    <w:rsid w:val="00E314C1"/>
    <w:rsid w:val="00EB7B90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47F4"/>
  <w15:docId w15:val="{709FFB89-0610-486D-99E2-33C8D576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41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4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89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89D"/>
  </w:style>
  <w:style w:type="character" w:styleId="FootnoteReference">
    <w:name w:val="footnote reference"/>
    <w:basedOn w:val="DefaultParagraphFont"/>
    <w:uiPriority w:val="99"/>
    <w:semiHidden/>
    <w:unhideWhenUsed/>
    <w:rsid w:val="003748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hyperlink" Target="mailto:Danielle.petricevich@boprc.govt.nz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282ce676efec436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A3616132</value>
    </field>
    <field name="Objective-Title">
      <value order="0">RM19-0556 s92(1) Further Information Request</value>
    </field>
    <field name="Objective-Description">
      <value order="0"/>
    </field>
    <field name="Objective-CreationStamp">
      <value order="0">2020-08-31T23:13:06Z</value>
    </field>
    <field name="Objective-IsApproved">
      <value order="0">false</value>
    </field>
    <field name="Objective-IsPublished">
      <value order="0">true</value>
    </field>
    <field name="Objective-DatePublished">
      <value order="0">2020-09-02T21:09:35Z</value>
    </field>
    <field name="Objective-ModificationStamp">
      <value order="0">2021-02-17T05:39:07Z</value>
    </field>
    <field name="Objective-Owner">
      <value order="0">Danielle Petricevich</value>
    </field>
    <field name="Objective-Path">
      <value order="0">EasyInfo Global Folder:'Virtual Filing Cabinet':Natural Resource Management:Resource Consents and Permits - CHARISE:2019 Applications:RM19-0556:Application Process:Further Information Requests</value>
    </field>
    <field name="Objective-Parent">
      <value order="0">Further Information Requests</value>
    </field>
    <field name="Objective-State">
      <value order="0">Published</value>
    </field>
    <field name="Objective-VersionId">
      <value order="0">vA5465385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qA143814</value>
    </field>
    <field name="Objective-Classification">
      <value order="0">Public Access</value>
    </field>
    <field name="Objective-Caveats">
      <value order="0"/>
    </field>
  </systemFields>
  <catalogues>
    <catalogue name="Outward Correspondence Type Catalogue" type="type" ori="id:cA15">
      <field name="Objective-Correspondence Type">
        <value order="0">Letter</value>
      </field>
      <field name="Objective-To">
        <value order="0"/>
      </field>
      <field name="Objective-Street">
        <value order="0"/>
      </field>
      <field name="Objective-Suburb / Town">
        <value order="0"/>
      </field>
      <field name="Objective-District">
        <value order="0"/>
      </field>
      <field name="Objective-Postal Code">
        <value order="0"/>
      </field>
      <field name="Objective-Country">
        <value order="0"/>
      </field>
      <field name="Objective-Phone">
        <value order="0"/>
      </field>
      <field name="Objective-Fax Number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2136C096-286C-40B5-8B52-3A9A428C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543</Words>
  <Characters>3078</Characters>
  <Application>Microsoft Office Word</Application>
  <DocSecurity>0</DocSecurity>
  <Lines>93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S92 Further Information Request Letter</vt:lpstr>
    </vt:vector>
  </TitlesOfParts>
  <Company>Bay of Plenty Regional Council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S92 Further Information Request Letter</dc:title>
  <dc:creator>Jacqui Rolleston</dc:creator>
  <cp:lastModifiedBy>Danielle Petricevich</cp:lastModifiedBy>
  <cp:revision>6</cp:revision>
  <dcterms:created xsi:type="dcterms:W3CDTF">2020-08-31T23:13:00Z</dcterms:created>
  <dcterms:modified xsi:type="dcterms:W3CDTF">2020-09-02T21:09:00Z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A3616132</vt:lpwstr>
  </property>
  <property fmtid="{D5CDD505-2E9C-101B-9397-08002B2CF9AE}" pid="4" name="Objective-Title">
    <vt:lpwstr>RM19-0556 s92(1) Further Information Request</vt:lpwstr>
  </property>
  <property fmtid="{D5CDD505-2E9C-101B-9397-08002B2CF9AE}" pid="5" name="Objective-Description">
    <vt:lpwstr/>
  </property>
  <property fmtid="{D5CDD505-2E9C-101B-9397-08002B2CF9AE}" pid="6" name="Objective-CreationStamp">
    <vt:filetime>2020-08-31T23:13:06Z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2020-09-02T21:09:35Z</vt:filetime>
  </property>
  <property fmtid="{D5CDD505-2E9C-101B-9397-08002B2CF9AE}" pid="10" name="Objective-ModificationStamp">
    <vt:filetime>2021-02-17T05:39:07Z</vt:filetime>
  </property>
  <property fmtid="{D5CDD505-2E9C-101B-9397-08002B2CF9AE}" pid="11" name="Objective-Owner">
    <vt:lpwstr>Danielle Petricevich</vt:lpwstr>
  </property>
  <property fmtid="{D5CDD505-2E9C-101B-9397-08002B2CF9AE}" pid="12" name="Objective-Path">
    <vt:lpwstr>EasyInfo Global Folder:'Virtual Filing Cabinet':Natural Resource Management:Resource Consents and Permits - CHARISE:2019 Applications:RM19-0556:Application Process:Further Information Requests</vt:lpwstr>
  </property>
  <property fmtid="{D5CDD505-2E9C-101B-9397-08002B2CF9AE}" pid="13" name="Objective-Parent">
    <vt:lpwstr>Further Information Requests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vA5465385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qA143814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Internal Directive Type">
    <vt:lpwstr>Guideline</vt:lpwstr>
  </property>
  <property fmtid="{D5CDD505-2E9C-101B-9397-08002B2CF9AE}" pid="23" name="Objective-Adoption Date">
    <vt:lpwstr/>
  </property>
  <property fmtid="{D5CDD505-2E9C-101B-9397-08002B2CF9AE}" pid="24" name="Objective-Date Last Reviewed">
    <vt:lpwstr/>
  </property>
  <property fmtid="{D5CDD505-2E9C-101B-9397-08002B2CF9AE}" pid="25" name="Objective-Date of Next Review">
    <vt:lpwstr/>
  </property>
  <property fmtid="{D5CDD505-2E9C-101B-9397-08002B2CF9AE}" pid="26" name="Objective-Reviewer">
    <vt:lpwstr/>
  </property>
  <property fmtid="{D5CDD505-2E9C-101B-9397-08002B2CF9AE}" pid="27" name="Objective-Reviewing Manager">
    <vt:lpwstr/>
  </property>
  <property fmtid="{D5CDD505-2E9C-101B-9397-08002B2CF9AE}" pid="28" name="Objective-On Behalf Of">
    <vt:lpwstr/>
  </property>
  <property fmtid="{D5CDD505-2E9C-101B-9397-08002B2CF9AE}" pid="29" name="Objective-Accela Key">
    <vt:lpwstr/>
  </property>
  <property fmtid="{D5CDD505-2E9C-101B-9397-08002B2CF9AE}" pid="30" name="Objective-Comment">
    <vt:lpwstr/>
  </property>
  <property fmtid="{D5CDD505-2E9C-101B-9397-08002B2CF9AE}" pid="31" name="Objective-Correspondence Type">
    <vt:lpwstr>Letter</vt:lpwstr>
  </property>
  <property fmtid="{D5CDD505-2E9C-101B-9397-08002B2CF9AE}" pid="32" name="Objective-To">
    <vt:lpwstr/>
  </property>
  <property fmtid="{D5CDD505-2E9C-101B-9397-08002B2CF9AE}" pid="33" name="Objective-Street">
    <vt:lpwstr/>
  </property>
  <property fmtid="{D5CDD505-2E9C-101B-9397-08002B2CF9AE}" pid="34" name="Objective-Suburb / Town">
    <vt:lpwstr/>
  </property>
  <property fmtid="{D5CDD505-2E9C-101B-9397-08002B2CF9AE}" pid="35" name="Objective-District">
    <vt:lpwstr/>
  </property>
  <property fmtid="{D5CDD505-2E9C-101B-9397-08002B2CF9AE}" pid="36" name="Objective-Postal Code">
    <vt:lpwstr/>
  </property>
  <property fmtid="{D5CDD505-2E9C-101B-9397-08002B2CF9AE}" pid="37" name="Objective-Country">
    <vt:lpwstr/>
  </property>
  <property fmtid="{D5CDD505-2E9C-101B-9397-08002B2CF9AE}" pid="38" name="Objective-Phone">
    <vt:lpwstr/>
  </property>
  <property fmtid="{D5CDD505-2E9C-101B-9397-08002B2CF9AE}" pid="39" name="Objective-Fax Number">
    <vt:lpwstr/>
  </property>
</Properties>
</file>